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FE168F">
      <w:pPr>
        <w:spacing w:line="480" w:lineRule="exact"/>
        <w:jc w:val="center"/>
        <w:rPr>
          <w:rFonts w:ascii="Times New Roman" w:hAnsi="Times New Roman" w:cs="Times New Roman"/>
          <w:b/>
          <w:bCs/>
          <w:sz w:val="36"/>
          <w:szCs w:val="36"/>
        </w:rPr>
      </w:pPr>
      <w:bookmarkStart w:id="0" w:name="_Toc699171784"/>
    </w:p>
    <w:p w14:paraId="44F4FBEC">
      <w:pPr>
        <w:spacing w:line="480" w:lineRule="exact"/>
        <w:jc w:val="center"/>
        <w:rPr>
          <w:rFonts w:ascii="Times New Roman" w:hAnsi="Times New Roman" w:cs="Times New Roman"/>
          <w:b/>
          <w:bCs/>
          <w:sz w:val="36"/>
          <w:szCs w:val="36"/>
        </w:rPr>
      </w:pPr>
    </w:p>
    <w:p w14:paraId="287DE605">
      <w:pPr>
        <w:spacing w:line="480" w:lineRule="exact"/>
        <w:jc w:val="center"/>
        <w:rPr>
          <w:rFonts w:ascii="Times New Roman" w:hAnsi="Times New Roman" w:cs="Times New Roman"/>
          <w:b/>
          <w:bCs/>
          <w:sz w:val="36"/>
          <w:szCs w:val="36"/>
        </w:rPr>
      </w:pPr>
    </w:p>
    <w:p w14:paraId="7EB185BE">
      <w:pPr>
        <w:spacing w:line="480" w:lineRule="exact"/>
        <w:jc w:val="center"/>
        <w:rPr>
          <w:rFonts w:ascii="Times New Roman" w:hAnsi="Times New Roman" w:cs="Times New Roman"/>
          <w:b/>
          <w:bCs/>
          <w:sz w:val="36"/>
          <w:szCs w:val="36"/>
        </w:rPr>
      </w:pPr>
    </w:p>
    <w:p w14:paraId="7567D819">
      <w:pPr>
        <w:snapToGrid w:val="0"/>
        <w:spacing w:line="700" w:lineRule="exact"/>
        <w:jc w:val="center"/>
        <w:rPr>
          <w:rFonts w:ascii="Times New Roman" w:hAnsi="Times New Roman" w:eastAsia="方正小标宋简体" w:cs="Times New Roman"/>
          <w:bCs/>
          <w:sz w:val="44"/>
          <w:szCs w:val="44"/>
        </w:rPr>
      </w:pPr>
    </w:p>
    <w:p w14:paraId="38E6BE1C">
      <w:pPr>
        <w:snapToGrid w:val="0"/>
        <w:spacing w:line="7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天津市滨海新区海滨街道国民经济和社会</w:t>
      </w:r>
    </w:p>
    <w:p w14:paraId="09268230">
      <w:pPr>
        <w:snapToGrid w:val="0"/>
        <w:spacing w:line="7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发展第十四个五年规划和二</w:t>
      </w:r>
      <w:r>
        <w:rPr>
          <w:rFonts w:ascii="Times New Roman" w:hAnsi="Times New Roman" w:cs="Times New Roman"/>
          <w:bCs/>
          <w:sz w:val="44"/>
          <w:szCs w:val="44"/>
        </w:rPr>
        <w:t>〇</w:t>
      </w:r>
      <w:r>
        <w:rPr>
          <w:rFonts w:ascii="Times New Roman" w:hAnsi="Times New Roman" w:eastAsia="方正小标宋简体" w:cs="Times New Roman"/>
          <w:bCs/>
          <w:sz w:val="44"/>
          <w:szCs w:val="44"/>
        </w:rPr>
        <w:t>三五年</w:t>
      </w:r>
    </w:p>
    <w:p w14:paraId="33CE262E">
      <w:pPr>
        <w:snapToGrid w:val="0"/>
        <w:spacing w:line="7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远景目标纲要</w:t>
      </w:r>
    </w:p>
    <w:p w14:paraId="5570E7F9">
      <w:pPr>
        <w:snapToGrid w:val="0"/>
        <w:spacing w:line="360" w:lineRule="auto"/>
        <w:jc w:val="center"/>
        <w:rPr>
          <w:rFonts w:ascii="Times New Roman" w:hAnsi="Times New Roman" w:eastAsia="楷体_GB2312" w:cs="Times New Roman"/>
          <w:b/>
          <w:bCs/>
          <w:sz w:val="32"/>
          <w:szCs w:val="32"/>
        </w:rPr>
      </w:pPr>
    </w:p>
    <w:p w14:paraId="5EE8F734">
      <w:pPr>
        <w:snapToGrid w:val="0"/>
        <w:spacing w:line="360" w:lineRule="auto"/>
        <w:rPr>
          <w:rFonts w:ascii="Times New Roman" w:hAnsi="Times New Roman" w:eastAsia="楷体_GB2312" w:cs="Times New Roman"/>
          <w:sz w:val="32"/>
          <w:szCs w:val="32"/>
        </w:rPr>
      </w:pPr>
    </w:p>
    <w:p w14:paraId="7939412F">
      <w:pPr>
        <w:snapToGrid w:val="0"/>
        <w:spacing w:line="360" w:lineRule="auto"/>
        <w:rPr>
          <w:rFonts w:ascii="Times New Roman" w:hAnsi="Times New Roman" w:cs="Times New Roman"/>
        </w:rPr>
      </w:pPr>
    </w:p>
    <w:p w14:paraId="7409400E">
      <w:pPr>
        <w:snapToGrid w:val="0"/>
        <w:spacing w:line="360" w:lineRule="auto"/>
        <w:rPr>
          <w:rFonts w:ascii="Times New Roman" w:hAnsi="Times New Roman" w:cs="Times New Roman"/>
        </w:rPr>
      </w:pPr>
    </w:p>
    <w:p w14:paraId="5C07766F">
      <w:pPr>
        <w:snapToGrid w:val="0"/>
        <w:spacing w:line="360" w:lineRule="auto"/>
        <w:rPr>
          <w:rFonts w:ascii="Times New Roman" w:hAnsi="Times New Roman" w:cs="Times New Roman"/>
        </w:rPr>
      </w:pPr>
    </w:p>
    <w:p w14:paraId="7F5C47BC">
      <w:pPr>
        <w:snapToGrid w:val="0"/>
        <w:spacing w:line="360" w:lineRule="auto"/>
        <w:rPr>
          <w:rFonts w:ascii="Times New Roman" w:hAnsi="Times New Roman" w:cs="Times New Roman"/>
        </w:rPr>
      </w:pPr>
    </w:p>
    <w:p w14:paraId="70970EC0">
      <w:pPr>
        <w:snapToGrid w:val="0"/>
        <w:spacing w:line="360" w:lineRule="auto"/>
        <w:rPr>
          <w:rFonts w:ascii="Times New Roman" w:hAnsi="Times New Roman" w:cs="Times New Roman"/>
        </w:rPr>
      </w:pPr>
    </w:p>
    <w:p w14:paraId="754757AD">
      <w:pPr>
        <w:snapToGrid w:val="0"/>
        <w:spacing w:line="360" w:lineRule="auto"/>
        <w:rPr>
          <w:rFonts w:ascii="Times New Roman" w:hAnsi="Times New Roman" w:cs="Times New Roman"/>
        </w:rPr>
      </w:pPr>
    </w:p>
    <w:p w14:paraId="4D5E2631">
      <w:pPr>
        <w:snapToGrid w:val="0"/>
        <w:spacing w:line="360" w:lineRule="auto"/>
        <w:rPr>
          <w:rFonts w:ascii="Times New Roman" w:hAnsi="Times New Roman" w:cs="Times New Roman"/>
        </w:rPr>
      </w:pPr>
    </w:p>
    <w:p w14:paraId="03360279">
      <w:pPr>
        <w:snapToGrid w:val="0"/>
        <w:spacing w:line="360" w:lineRule="auto"/>
        <w:rPr>
          <w:rFonts w:ascii="Times New Roman" w:hAnsi="Times New Roman" w:cs="Times New Roman"/>
        </w:rPr>
      </w:pPr>
    </w:p>
    <w:p w14:paraId="3F2402F4">
      <w:pPr>
        <w:snapToGrid w:val="0"/>
        <w:spacing w:line="360" w:lineRule="auto"/>
        <w:rPr>
          <w:rFonts w:ascii="Times New Roman" w:hAnsi="Times New Roman" w:cs="Times New Roman"/>
        </w:rPr>
      </w:pPr>
    </w:p>
    <w:p w14:paraId="2A2B9021">
      <w:pPr>
        <w:snapToGrid w:val="0"/>
        <w:spacing w:line="360" w:lineRule="auto"/>
        <w:rPr>
          <w:rFonts w:ascii="Times New Roman" w:hAnsi="Times New Roman" w:cs="Times New Roman"/>
        </w:rPr>
      </w:pPr>
    </w:p>
    <w:p w14:paraId="1C7CA332">
      <w:pPr>
        <w:snapToGrid w:val="0"/>
        <w:spacing w:line="360" w:lineRule="auto"/>
        <w:rPr>
          <w:rFonts w:ascii="Times New Roman" w:hAnsi="Times New Roman" w:cs="Times New Roman"/>
        </w:rPr>
      </w:pPr>
    </w:p>
    <w:p w14:paraId="3C10976A">
      <w:pPr>
        <w:snapToGrid w:val="0"/>
        <w:spacing w:line="360" w:lineRule="auto"/>
        <w:rPr>
          <w:rFonts w:ascii="Times New Roman" w:hAnsi="Times New Roman" w:cs="Times New Roman"/>
        </w:rPr>
      </w:pPr>
    </w:p>
    <w:p w14:paraId="3261FF86">
      <w:pPr>
        <w:snapToGrid w:val="0"/>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天津市滨海新区海滨街道办事处</w:t>
      </w:r>
    </w:p>
    <w:p w14:paraId="247AD27A">
      <w:pPr>
        <w:pStyle w:val="2"/>
        <w:jc w:val="center"/>
        <w:rPr>
          <w:rFonts w:ascii="Times New Roman" w:hAnsi="Times New Roman" w:eastAsia="黑体" w:cs="Times New Roman"/>
        </w:rPr>
      </w:pPr>
      <w:r>
        <w:rPr>
          <w:rFonts w:ascii="Times New Roman" w:hAnsi="Times New Roman" w:eastAsia="黑体" w:cs="Times New Roman"/>
        </w:rPr>
        <w:t>二〇二一年八月</w:t>
      </w:r>
    </w:p>
    <w:p w14:paraId="7559360E">
      <w:pPr>
        <w:snapToGrid w:val="0"/>
        <w:spacing w:line="360" w:lineRule="auto"/>
        <w:jc w:val="center"/>
        <w:rPr>
          <w:rFonts w:ascii="Times New Roman" w:hAnsi="Times New Roman" w:eastAsia="黑体" w:cs="Times New Roman"/>
          <w:sz w:val="32"/>
          <w:szCs w:val="32"/>
        </w:rPr>
      </w:pPr>
    </w:p>
    <w:p w14:paraId="7028A9C6">
      <w:pPr>
        <w:pStyle w:val="5"/>
        <w:rPr>
          <w:rFonts w:ascii="Times New Roman" w:hAnsi="Times New Roman" w:cs="Times New Roman"/>
        </w:rPr>
        <w:sectPr>
          <w:pgSz w:w="11906" w:h="16838"/>
          <w:pgMar w:top="1440" w:right="1576" w:bottom="1440" w:left="1576" w:header="851" w:footer="992" w:gutter="0"/>
          <w:cols w:space="425" w:num="1"/>
          <w:docGrid w:type="lines" w:linePitch="312" w:charSpace="0"/>
        </w:sectPr>
      </w:pPr>
    </w:p>
    <w:p w14:paraId="09B6DAAD">
      <w:pPr>
        <w:adjustRightInd w:val="0"/>
        <w:snapToGrid w:val="0"/>
        <w:spacing w:line="600" w:lineRule="exact"/>
        <w:ind w:firstLine="880" w:firstLineChars="200"/>
        <w:jc w:val="center"/>
        <w:rPr>
          <w:rFonts w:ascii="Times New Roman" w:hAnsi="Times New Roman" w:eastAsia="方正小标宋简体" w:cs="Times New Roman"/>
          <w:sz w:val="44"/>
          <w:szCs w:val="44"/>
        </w:rPr>
      </w:pPr>
      <w:bookmarkStart w:id="1" w:name="_Toc18637"/>
      <w:r>
        <w:rPr>
          <w:rFonts w:ascii="Times New Roman" w:hAnsi="Times New Roman" w:eastAsia="方正小标宋简体" w:cs="Times New Roman"/>
          <w:sz w:val="44"/>
          <w:szCs w:val="44"/>
        </w:rPr>
        <w:t>目  录</w:t>
      </w:r>
      <w:bookmarkEnd w:id="0"/>
      <w:bookmarkEnd w:id="1"/>
    </w:p>
    <w:p w14:paraId="123DA616">
      <w:pPr>
        <w:pStyle w:val="10"/>
        <w:tabs>
          <w:tab w:val="right" w:leader="dot" w:pos="8754"/>
        </w:tabs>
        <w:rPr>
          <w:rFonts w:ascii="黑体" w:hAnsi="黑体" w:eastAsia="黑体" w:cs="黑体"/>
          <w:sz w:val="28"/>
          <w:szCs w:val="28"/>
        </w:rPr>
      </w:pPr>
      <w:r>
        <w:rPr>
          <w:rFonts w:ascii="Times New Roman" w:hAnsi="Times New Roman" w:eastAsia="楷体_GB2312" w:cs="Times New Roman"/>
          <w:sz w:val="28"/>
          <w:szCs w:val="28"/>
        </w:rPr>
        <w:fldChar w:fldCharType="begin"/>
      </w:r>
      <w:r>
        <w:rPr>
          <w:rFonts w:ascii="Times New Roman" w:hAnsi="Times New Roman" w:eastAsia="楷体_GB2312" w:cs="Times New Roman"/>
          <w:sz w:val="28"/>
          <w:szCs w:val="28"/>
        </w:rPr>
        <w:instrText xml:space="preserve">TOC \o "1-2" \h \u </w:instrText>
      </w:r>
      <w:r>
        <w:rPr>
          <w:rFonts w:ascii="Times New Roman" w:hAnsi="Times New Roman" w:eastAsia="楷体_GB2312" w:cs="Times New Roman"/>
          <w:sz w:val="28"/>
          <w:szCs w:val="28"/>
        </w:rPr>
        <w:fldChar w:fldCharType="separate"/>
      </w:r>
      <w:r>
        <w:fldChar w:fldCharType="begin"/>
      </w:r>
      <w:r>
        <w:instrText xml:space="preserve"> HYPERLINK \l "_Toc23719" </w:instrText>
      </w:r>
      <w:r>
        <w:fldChar w:fldCharType="separate"/>
      </w:r>
      <w:r>
        <w:rPr>
          <w:rFonts w:hint="eastAsia" w:ascii="黑体" w:hAnsi="黑体" w:eastAsia="黑体" w:cs="黑体"/>
          <w:sz w:val="28"/>
          <w:szCs w:val="28"/>
        </w:rPr>
        <w:t xml:space="preserve">序  </w:t>
      </w:r>
      <w:r>
        <w:rPr>
          <w:rFonts w:hint="eastAsia" w:ascii="黑体" w:hAnsi="黑体" w:eastAsia="黑体" w:cs="黑体"/>
          <w:sz w:val="28"/>
          <w:szCs w:val="28"/>
          <w:lang w:val="zh-CN"/>
        </w:rPr>
        <w:t>言</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_Toc23719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DC3903D">
      <w:pPr>
        <w:pStyle w:val="10"/>
        <w:tabs>
          <w:tab w:val="right" w:leader="dot" w:pos="8754"/>
        </w:tabs>
        <w:rPr>
          <w:rFonts w:ascii="黑体" w:hAnsi="黑体" w:eastAsia="黑体" w:cs="黑体"/>
          <w:sz w:val="28"/>
          <w:szCs w:val="28"/>
        </w:rPr>
      </w:pPr>
      <w:r>
        <w:fldChar w:fldCharType="begin"/>
      </w:r>
      <w:r>
        <w:instrText xml:space="preserve"> HYPERLINK \l "_Toc2732" </w:instrText>
      </w:r>
      <w:r>
        <w:fldChar w:fldCharType="separate"/>
      </w:r>
      <w:r>
        <w:rPr>
          <w:rFonts w:hint="eastAsia" w:ascii="黑体" w:hAnsi="黑体" w:eastAsia="黑体" w:cs="黑体"/>
          <w:sz w:val="28"/>
          <w:szCs w:val="28"/>
        </w:rPr>
        <w:t>第一章  发展基础和发展环境</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_Toc2732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DD53EEB">
      <w:pPr>
        <w:pStyle w:val="12"/>
        <w:tabs>
          <w:tab w:val="right" w:leader="dot" w:pos="8754"/>
        </w:tabs>
        <w:rPr>
          <w:rFonts w:ascii="楷体" w:hAnsi="楷体" w:eastAsia="楷体" w:cs="楷体"/>
          <w:sz w:val="28"/>
          <w:szCs w:val="28"/>
        </w:rPr>
      </w:pPr>
      <w:r>
        <w:fldChar w:fldCharType="begin"/>
      </w:r>
      <w:r>
        <w:instrText xml:space="preserve"> HYPERLINK \l "_Toc5363" </w:instrText>
      </w:r>
      <w:r>
        <w:fldChar w:fldCharType="separate"/>
      </w:r>
      <w:r>
        <w:rPr>
          <w:rFonts w:hint="eastAsia" w:ascii="楷体" w:hAnsi="楷体" w:eastAsia="楷体" w:cs="楷体"/>
          <w:sz w:val="28"/>
          <w:szCs w:val="28"/>
        </w:rPr>
        <w:t>第一节  发展基础</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_Toc5363 </w:instrText>
      </w:r>
      <w:r>
        <w:rPr>
          <w:rFonts w:hint="eastAsia" w:ascii="楷体" w:hAnsi="楷体" w:eastAsia="楷体" w:cs="楷体"/>
          <w:sz w:val="28"/>
          <w:szCs w:val="28"/>
        </w:rPr>
        <w:fldChar w:fldCharType="separate"/>
      </w:r>
      <w:r>
        <w:rPr>
          <w:rFonts w:hint="eastAsia" w:ascii="楷体" w:hAnsi="楷体" w:eastAsia="楷体" w:cs="楷体"/>
          <w:sz w:val="28"/>
          <w:szCs w:val="28"/>
        </w:rPr>
        <w:t>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62A36576">
      <w:pPr>
        <w:pStyle w:val="12"/>
        <w:tabs>
          <w:tab w:val="right" w:leader="dot" w:pos="8754"/>
        </w:tabs>
        <w:rPr>
          <w:rFonts w:ascii="楷体" w:hAnsi="楷体" w:eastAsia="楷体" w:cs="楷体"/>
          <w:sz w:val="28"/>
          <w:szCs w:val="28"/>
        </w:rPr>
      </w:pPr>
      <w:r>
        <w:fldChar w:fldCharType="begin"/>
      </w:r>
      <w:r>
        <w:instrText xml:space="preserve"> HYPERLINK \l "_Toc1034" </w:instrText>
      </w:r>
      <w:r>
        <w:fldChar w:fldCharType="separate"/>
      </w:r>
      <w:r>
        <w:rPr>
          <w:rFonts w:hint="eastAsia" w:ascii="楷体" w:hAnsi="楷体" w:eastAsia="楷体" w:cs="楷体"/>
          <w:sz w:val="28"/>
          <w:szCs w:val="28"/>
        </w:rPr>
        <w:t>第二节  发展环境</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_Toc1034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31329AAC">
      <w:pPr>
        <w:pStyle w:val="12"/>
        <w:tabs>
          <w:tab w:val="right" w:leader="dot" w:pos="8754"/>
        </w:tabs>
      </w:pPr>
      <w:r>
        <w:fldChar w:fldCharType="begin"/>
      </w:r>
      <w:r>
        <w:instrText xml:space="preserve"> HYPERLINK \l "_Toc27691" </w:instrText>
      </w:r>
      <w:r>
        <w:fldChar w:fldCharType="separate"/>
      </w:r>
      <w:r>
        <w:rPr>
          <w:rFonts w:hint="eastAsia" w:ascii="楷体" w:hAnsi="楷体" w:eastAsia="楷体" w:cs="楷体"/>
          <w:sz w:val="28"/>
          <w:szCs w:val="28"/>
        </w:rPr>
        <w:t>第三节  二〇三五年远景目标</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_Toc27691 </w:instrText>
      </w:r>
      <w:r>
        <w:rPr>
          <w:rFonts w:hint="eastAsia" w:ascii="楷体" w:hAnsi="楷体" w:eastAsia="楷体" w:cs="楷体"/>
          <w:sz w:val="28"/>
          <w:szCs w:val="28"/>
        </w:rPr>
        <w:fldChar w:fldCharType="separate"/>
      </w:r>
      <w:r>
        <w:rPr>
          <w:rFonts w:hint="eastAsia" w:ascii="楷体" w:hAnsi="楷体" w:eastAsia="楷体" w:cs="楷体"/>
          <w:sz w:val="28"/>
          <w:szCs w:val="28"/>
        </w:rPr>
        <w:t>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3A0718C6">
      <w:pPr>
        <w:pStyle w:val="10"/>
        <w:tabs>
          <w:tab w:val="right" w:leader="dot" w:pos="8754"/>
        </w:tabs>
        <w:rPr>
          <w:rFonts w:ascii="黑体" w:hAnsi="黑体" w:eastAsia="黑体" w:cs="黑体"/>
          <w:sz w:val="28"/>
          <w:szCs w:val="28"/>
        </w:rPr>
      </w:pPr>
      <w:r>
        <w:fldChar w:fldCharType="begin"/>
      </w:r>
      <w:r>
        <w:instrText xml:space="preserve"> HYPERLINK \l "_Toc13831" </w:instrText>
      </w:r>
      <w:r>
        <w:fldChar w:fldCharType="separate"/>
      </w:r>
      <w:r>
        <w:rPr>
          <w:rFonts w:hint="eastAsia" w:ascii="黑体" w:hAnsi="黑体" w:eastAsia="黑体" w:cs="黑体"/>
          <w:sz w:val="28"/>
          <w:szCs w:val="28"/>
        </w:rPr>
        <w:t>第二章  总体要求与奋斗目标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_Toc13831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8113CD1">
      <w:pPr>
        <w:pStyle w:val="12"/>
        <w:tabs>
          <w:tab w:val="right" w:leader="dot" w:pos="8754"/>
        </w:tabs>
        <w:rPr>
          <w:rFonts w:ascii="楷体" w:hAnsi="楷体" w:eastAsia="楷体" w:cs="楷体"/>
          <w:sz w:val="28"/>
          <w:szCs w:val="28"/>
        </w:rPr>
      </w:pPr>
      <w:r>
        <w:fldChar w:fldCharType="begin"/>
      </w:r>
      <w:r>
        <w:instrText xml:space="preserve"> HYPERLINK \l "_Toc10856" </w:instrText>
      </w:r>
      <w:r>
        <w:fldChar w:fldCharType="separate"/>
      </w:r>
      <w:r>
        <w:rPr>
          <w:rFonts w:hint="eastAsia" w:ascii="楷体" w:hAnsi="楷体" w:eastAsia="楷体" w:cs="楷体"/>
          <w:sz w:val="28"/>
          <w:szCs w:val="28"/>
        </w:rPr>
        <w:t>第一节  指导思想</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_Toc10856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2902CEC8">
      <w:pPr>
        <w:pStyle w:val="12"/>
        <w:tabs>
          <w:tab w:val="right" w:leader="dot" w:pos="8754"/>
        </w:tabs>
        <w:rPr>
          <w:rFonts w:ascii="楷体" w:hAnsi="楷体" w:eastAsia="楷体" w:cs="楷体"/>
          <w:sz w:val="28"/>
          <w:szCs w:val="28"/>
        </w:rPr>
      </w:pPr>
      <w:r>
        <w:fldChar w:fldCharType="begin"/>
      </w:r>
      <w:r>
        <w:instrText xml:space="preserve"> HYPERLINK \l "_Toc3416" </w:instrText>
      </w:r>
      <w:r>
        <w:fldChar w:fldCharType="separate"/>
      </w:r>
      <w:r>
        <w:rPr>
          <w:rFonts w:hint="eastAsia" w:ascii="楷体" w:hAnsi="楷体" w:eastAsia="楷体" w:cs="楷体"/>
          <w:sz w:val="28"/>
          <w:szCs w:val="28"/>
        </w:rPr>
        <w:t>第二节  基本原则</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_Toc3416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4F5A0D1D">
      <w:pPr>
        <w:pStyle w:val="12"/>
        <w:tabs>
          <w:tab w:val="right" w:leader="dot" w:pos="8754"/>
        </w:tabs>
        <w:rPr>
          <w:rFonts w:ascii="楷体" w:hAnsi="楷体" w:eastAsia="楷体" w:cs="楷体"/>
          <w:sz w:val="28"/>
          <w:szCs w:val="28"/>
        </w:rPr>
      </w:pPr>
      <w:r>
        <w:fldChar w:fldCharType="begin"/>
      </w:r>
      <w:r>
        <w:instrText xml:space="preserve"> HYPERLINK \l "_Toc17025" </w:instrText>
      </w:r>
      <w:r>
        <w:fldChar w:fldCharType="separate"/>
      </w:r>
      <w:r>
        <w:rPr>
          <w:rFonts w:hint="eastAsia" w:ascii="楷体" w:hAnsi="楷体" w:eastAsia="楷体" w:cs="楷体"/>
          <w:sz w:val="28"/>
          <w:szCs w:val="28"/>
        </w:rPr>
        <w:t>第三节  主要目标</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_Toc17025 </w:instrText>
      </w:r>
      <w:r>
        <w:rPr>
          <w:rFonts w:hint="eastAsia" w:ascii="楷体" w:hAnsi="楷体" w:eastAsia="楷体" w:cs="楷体"/>
          <w:sz w:val="28"/>
          <w:szCs w:val="28"/>
        </w:rPr>
        <w:fldChar w:fldCharType="separate"/>
      </w:r>
      <w:r>
        <w:rPr>
          <w:rFonts w:hint="eastAsia" w:ascii="楷体" w:hAnsi="楷体" w:eastAsia="楷体" w:cs="楷体"/>
          <w:sz w:val="28"/>
          <w:szCs w:val="28"/>
        </w:rPr>
        <w:t>11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5811003B">
      <w:pPr>
        <w:pStyle w:val="10"/>
        <w:tabs>
          <w:tab w:val="right" w:leader="dot" w:pos="8754"/>
        </w:tabs>
        <w:rPr>
          <w:rFonts w:ascii="黑体" w:hAnsi="黑体" w:eastAsia="黑体" w:cs="黑体"/>
          <w:sz w:val="28"/>
          <w:szCs w:val="28"/>
        </w:rPr>
      </w:pPr>
      <w:r>
        <w:fldChar w:fldCharType="begin"/>
      </w:r>
      <w:r>
        <w:instrText xml:space="preserve"> HYPERLINK \l "_Toc28295" </w:instrText>
      </w:r>
      <w:r>
        <w:fldChar w:fldCharType="separate"/>
      </w:r>
      <w:r>
        <w:rPr>
          <w:rFonts w:hint="eastAsia" w:ascii="黑体" w:hAnsi="黑体" w:eastAsia="黑体" w:cs="黑体"/>
          <w:sz w:val="28"/>
          <w:szCs w:val="28"/>
        </w:rPr>
        <w:t>第三章  推动空间协同发展  规划建设先行示范街</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_Toc28295 </w:instrText>
      </w:r>
      <w:r>
        <w:rPr>
          <w:rFonts w:hint="eastAsia" w:ascii="黑体" w:hAnsi="黑体" w:eastAsia="黑体" w:cs="黑体"/>
          <w:sz w:val="28"/>
          <w:szCs w:val="28"/>
        </w:rPr>
        <w:fldChar w:fldCharType="separate"/>
      </w:r>
      <w:r>
        <w:rPr>
          <w:rFonts w:hint="eastAsia" w:ascii="黑体" w:hAnsi="黑体" w:eastAsia="黑体" w:cs="黑体"/>
          <w:sz w:val="28"/>
          <w:szCs w:val="28"/>
        </w:rPr>
        <w:t>14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4DEB4E5">
      <w:pPr>
        <w:pStyle w:val="12"/>
        <w:tabs>
          <w:tab w:val="right" w:leader="dot" w:pos="8754"/>
        </w:tabs>
        <w:rPr>
          <w:rFonts w:ascii="楷体" w:hAnsi="楷体" w:eastAsia="楷体" w:cs="楷体"/>
          <w:sz w:val="28"/>
          <w:szCs w:val="28"/>
        </w:rPr>
      </w:pPr>
      <w:r>
        <w:fldChar w:fldCharType="begin"/>
      </w:r>
      <w:r>
        <w:instrText xml:space="preserve"> HYPERLINK \l "_Toc6052" </w:instrText>
      </w:r>
      <w:r>
        <w:fldChar w:fldCharType="separate"/>
      </w:r>
      <w:r>
        <w:rPr>
          <w:rFonts w:hint="eastAsia" w:ascii="楷体" w:hAnsi="楷体" w:eastAsia="楷体" w:cs="楷体"/>
          <w:sz w:val="28"/>
          <w:szCs w:val="28"/>
        </w:rPr>
        <w:t>第一节  坚持高点规划</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_Toc6052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0FEC22AD">
      <w:pPr>
        <w:pStyle w:val="12"/>
        <w:tabs>
          <w:tab w:val="right" w:leader="dot" w:pos="8754"/>
        </w:tabs>
        <w:rPr>
          <w:rFonts w:ascii="楷体" w:hAnsi="楷体" w:eastAsia="楷体" w:cs="楷体"/>
          <w:sz w:val="28"/>
          <w:szCs w:val="28"/>
        </w:rPr>
      </w:pPr>
      <w:r>
        <w:fldChar w:fldCharType="begin"/>
      </w:r>
      <w:r>
        <w:instrText xml:space="preserve"> HYPERLINK \l "_Toc9647" </w:instrText>
      </w:r>
      <w:r>
        <w:fldChar w:fldCharType="separate"/>
      </w:r>
      <w:r>
        <w:rPr>
          <w:rFonts w:hint="eastAsia" w:ascii="楷体" w:hAnsi="楷体" w:eastAsia="楷体" w:cs="楷体"/>
          <w:sz w:val="28"/>
          <w:szCs w:val="28"/>
        </w:rPr>
        <w:t>第二节  优化街镇空间结构</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_Toc9647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546B7BC7">
      <w:pPr>
        <w:pStyle w:val="12"/>
        <w:tabs>
          <w:tab w:val="right" w:leader="dot" w:pos="8754"/>
        </w:tabs>
        <w:rPr>
          <w:rFonts w:ascii="楷体" w:hAnsi="楷体" w:eastAsia="楷体" w:cs="楷体"/>
          <w:sz w:val="28"/>
          <w:szCs w:val="28"/>
        </w:rPr>
      </w:pPr>
      <w:r>
        <w:fldChar w:fldCharType="begin"/>
      </w:r>
      <w:r>
        <w:instrText xml:space="preserve"> HYPERLINK \l "_Toc27802" </w:instrText>
      </w:r>
      <w:r>
        <w:fldChar w:fldCharType="separate"/>
      </w:r>
      <w:r>
        <w:rPr>
          <w:rFonts w:hint="eastAsia" w:ascii="楷体" w:hAnsi="楷体" w:eastAsia="楷体" w:cs="楷体"/>
          <w:sz w:val="28"/>
          <w:szCs w:val="28"/>
        </w:rPr>
        <w:t>第三节  强化区域协同发展</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_Toc27802 </w:instrText>
      </w:r>
      <w:r>
        <w:rPr>
          <w:rFonts w:hint="eastAsia" w:ascii="楷体" w:hAnsi="楷体" w:eastAsia="楷体" w:cs="楷体"/>
          <w:sz w:val="28"/>
          <w:szCs w:val="28"/>
        </w:rPr>
        <w:fldChar w:fldCharType="separate"/>
      </w:r>
      <w:r>
        <w:rPr>
          <w:rFonts w:hint="eastAsia" w:ascii="楷体" w:hAnsi="楷体" w:eastAsia="楷体" w:cs="楷体"/>
          <w:sz w:val="28"/>
          <w:szCs w:val="28"/>
        </w:rPr>
        <w:t>16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3B7AE33D">
      <w:pPr>
        <w:pStyle w:val="10"/>
        <w:tabs>
          <w:tab w:val="right" w:leader="dot" w:pos="8754"/>
        </w:tabs>
        <w:rPr>
          <w:rFonts w:ascii="黑体" w:hAnsi="黑体" w:eastAsia="黑体" w:cs="黑体"/>
          <w:sz w:val="28"/>
          <w:szCs w:val="28"/>
        </w:rPr>
      </w:pPr>
      <w:r>
        <w:fldChar w:fldCharType="begin"/>
      </w:r>
      <w:r>
        <w:instrText xml:space="preserve"> HYPERLINK \l "_Toc23846" </w:instrText>
      </w:r>
      <w:r>
        <w:fldChar w:fldCharType="separate"/>
      </w:r>
      <w:r>
        <w:rPr>
          <w:rFonts w:hint="eastAsia" w:ascii="黑体" w:hAnsi="黑体" w:eastAsia="黑体" w:cs="黑体"/>
          <w:sz w:val="28"/>
          <w:szCs w:val="28"/>
        </w:rPr>
        <w:t>第四章  加速产业转型升级  构建现代产业服务基地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_Toc23846 </w:instrText>
      </w:r>
      <w:r>
        <w:rPr>
          <w:rFonts w:hint="eastAsia" w:ascii="黑体" w:hAnsi="黑体" w:eastAsia="黑体" w:cs="黑体"/>
          <w:sz w:val="28"/>
          <w:szCs w:val="28"/>
        </w:rPr>
        <w:fldChar w:fldCharType="separate"/>
      </w:r>
      <w:r>
        <w:rPr>
          <w:rFonts w:hint="eastAsia" w:ascii="黑体" w:hAnsi="黑体" w:eastAsia="黑体" w:cs="黑体"/>
          <w:sz w:val="28"/>
          <w:szCs w:val="28"/>
        </w:rPr>
        <w:t>18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DE9ADB0">
      <w:pPr>
        <w:pStyle w:val="12"/>
        <w:tabs>
          <w:tab w:val="right" w:leader="dot" w:pos="8754"/>
        </w:tabs>
        <w:rPr>
          <w:rFonts w:ascii="楷体" w:hAnsi="楷体" w:eastAsia="楷体" w:cs="楷体"/>
          <w:sz w:val="28"/>
          <w:szCs w:val="28"/>
        </w:rPr>
      </w:pPr>
      <w:r>
        <w:fldChar w:fldCharType="begin"/>
      </w:r>
      <w:r>
        <w:instrText xml:space="preserve"> HYPERLINK \l "_Toc12872" </w:instrText>
      </w:r>
      <w:r>
        <w:fldChar w:fldCharType="separate"/>
      </w:r>
      <w:r>
        <w:rPr>
          <w:rFonts w:hint="eastAsia" w:ascii="楷体" w:hAnsi="楷体" w:eastAsia="楷体" w:cs="楷体"/>
          <w:sz w:val="28"/>
          <w:szCs w:val="28"/>
        </w:rPr>
        <w:t>第一节  实施优势产业培育壮大工程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_Toc12872 </w:instrText>
      </w:r>
      <w:r>
        <w:rPr>
          <w:rFonts w:hint="eastAsia" w:ascii="楷体" w:hAnsi="楷体" w:eastAsia="楷体" w:cs="楷体"/>
          <w:sz w:val="28"/>
          <w:szCs w:val="28"/>
        </w:rPr>
        <w:fldChar w:fldCharType="separate"/>
      </w:r>
      <w:r>
        <w:rPr>
          <w:rFonts w:hint="eastAsia" w:ascii="楷体" w:hAnsi="楷体" w:eastAsia="楷体" w:cs="楷体"/>
          <w:sz w:val="28"/>
          <w:szCs w:val="28"/>
        </w:rPr>
        <w:t>18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7C9903CE">
      <w:pPr>
        <w:pStyle w:val="12"/>
        <w:tabs>
          <w:tab w:val="right" w:leader="dot" w:pos="8754"/>
        </w:tabs>
        <w:rPr>
          <w:rFonts w:ascii="楷体" w:hAnsi="楷体" w:eastAsia="楷体" w:cs="楷体"/>
          <w:sz w:val="28"/>
          <w:szCs w:val="28"/>
        </w:rPr>
      </w:pPr>
      <w:r>
        <w:fldChar w:fldCharType="begin"/>
      </w:r>
      <w:r>
        <w:instrText xml:space="preserve"> HYPERLINK \l "_Toc6784" </w:instrText>
      </w:r>
      <w:r>
        <w:fldChar w:fldCharType="separate"/>
      </w:r>
      <w:r>
        <w:rPr>
          <w:rFonts w:hint="eastAsia" w:ascii="楷体" w:hAnsi="楷体" w:eastAsia="楷体" w:cs="楷体"/>
          <w:sz w:val="28"/>
          <w:szCs w:val="28"/>
        </w:rPr>
        <w:t>第二节  实施特色产业提质增效工程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_Toc6784 </w:instrText>
      </w:r>
      <w:r>
        <w:rPr>
          <w:rFonts w:hint="eastAsia" w:ascii="楷体" w:hAnsi="楷体" w:eastAsia="楷体" w:cs="楷体"/>
          <w:sz w:val="28"/>
          <w:szCs w:val="28"/>
        </w:rPr>
        <w:fldChar w:fldCharType="separate"/>
      </w:r>
      <w:r>
        <w:rPr>
          <w:rFonts w:hint="eastAsia" w:ascii="楷体" w:hAnsi="楷体" w:eastAsia="楷体" w:cs="楷体"/>
          <w:sz w:val="28"/>
          <w:szCs w:val="28"/>
        </w:rPr>
        <w:t>19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73879BBD">
      <w:pPr>
        <w:pStyle w:val="12"/>
        <w:tabs>
          <w:tab w:val="right" w:leader="dot" w:pos="8754"/>
        </w:tabs>
        <w:rPr>
          <w:rFonts w:ascii="楷体" w:hAnsi="楷体" w:eastAsia="楷体" w:cs="楷体"/>
          <w:sz w:val="28"/>
          <w:szCs w:val="28"/>
        </w:rPr>
      </w:pPr>
      <w:r>
        <w:fldChar w:fldCharType="begin"/>
      </w:r>
      <w:r>
        <w:instrText xml:space="preserve"> HYPERLINK \l "_Toc22320" </w:instrText>
      </w:r>
      <w:r>
        <w:fldChar w:fldCharType="separate"/>
      </w:r>
      <w:r>
        <w:rPr>
          <w:rFonts w:hint="eastAsia" w:ascii="楷体" w:hAnsi="楷体" w:eastAsia="楷体" w:cs="楷体"/>
          <w:sz w:val="28"/>
          <w:szCs w:val="28"/>
        </w:rPr>
        <w:t>第三节  实施制造产业融合创新工程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_Toc22320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76A71E28">
      <w:pPr>
        <w:pStyle w:val="10"/>
        <w:tabs>
          <w:tab w:val="right" w:leader="dot" w:pos="8754"/>
        </w:tabs>
        <w:rPr>
          <w:rFonts w:ascii="黑体" w:hAnsi="黑体" w:eastAsia="黑体" w:cs="黑体"/>
          <w:sz w:val="28"/>
          <w:szCs w:val="28"/>
        </w:rPr>
      </w:pPr>
      <w:r>
        <w:fldChar w:fldCharType="begin"/>
      </w:r>
      <w:r>
        <w:instrText xml:space="preserve"> HYPERLINK \l "_Toc31879" </w:instrText>
      </w:r>
      <w:r>
        <w:fldChar w:fldCharType="separate"/>
      </w:r>
      <w:r>
        <w:rPr>
          <w:rFonts w:hint="eastAsia" w:ascii="黑体" w:hAnsi="黑体" w:eastAsia="黑体" w:cs="黑体"/>
          <w:sz w:val="28"/>
          <w:szCs w:val="28"/>
        </w:rPr>
        <w:t>第五章  践行生态文明理念  打造生态宜居城区</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_Toc31879 </w:instrText>
      </w:r>
      <w:r>
        <w:rPr>
          <w:rFonts w:hint="eastAsia" w:ascii="黑体" w:hAnsi="黑体" w:eastAsia="黑体" w:cs="黑体"/>
          <w:sz w:val="28"/>
          <w:szCs w:val="28"/>
        </w:rPr>
        <w:fldChar w:fldCharType="separate"/>
      </w:r>
      <w:r>
        <w:rPr>
          <w:rFonts w:hint="eastAsia" w:ascii="黑体" w:hAnsi="黑体" w:eastAsia="黑体" w:cs="黑体"/>
          <w:sz w:val="28"/>
          <w:szCs w:val="28"/>
        </w:rPr>
        <w:t>22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747A998">
      <w:pPr>
        <w:pStyle w:val="12"/>
        <w:tabs>
          <w:tab w:val="right" w:leader="dot" w:pos="8754"/>
        </w:tabs>
        <w:rPr>
          <w:rFonts w:ascii="楷体" w:hAnsi="楷体" w:eastAsia="楷体" w:cs="楷体"/>
          <w:sz w:val="28"/>
          <w:szCs w:val="28"/>
        </w:rPr>
      </w:pPr>
      <w:r>
        <w:fldChar w:fldCharType="begin"/>
      </w:r>
      <w:r>
        <w:instrText xml:space="preserve"> HYPERLINK \l "_Toc2045" </w:instrText>
      </w:r>
      <w:r>
        <w:fldChar w:fldCharType="separate"/>
      </w:r>
      <w:r>
        <w:rPr>
          <w:rFonts w:hint="eastAsia" w:ascii="楷体" w:hAnsi="楷体" w:eastAsia="楷体" w:cs="楷体"/>
          <w:sz w:val="28"/>
          <w:szCs w:val="28"/>
        </w:rPr>
        <w:t>第一节  实施绿色生态环境整治工程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_Toc2045 </w:instrText>
      </w:r>
      <w:r>
        <w:rPr>
          <w:rFonts w:hint="eastAsia" w:ascii="楷体" w:hAnsi="楷体" w:eastAsia="楷体" w:cs="楷体"/>
          <w:sz w:val="28"/>
          <w:szCs w:val="28"/>
        </w:rPr>
        <w:fldChar w:fldCharType="separate"/>
      </w:r>
      <w:r>
        <w:rPr>
          <w:rFonts w:hint="eastAsia" w:ascii="楷体" w:hAnsi="楷体" w:eastAsia="楷体" w:cs="楷体"/>
          <w:sz w:val="28"/>
          <w:szCs w:val="28"/>
        </w:rPr>
        <w:t>22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2C607DF8">
      <w:pPr>
        <w:pStyle w:val="12"/>
        <w:tabs>
          <w:tab w:val="right" w:leader="dot" w:pos="8754"/>
        </w:tabs>
        <w:rPr>
          <w:rFonts w:ascii="楷体" w:hAnsi="楷体" w:eastAsia="楷体" w:cs="楷体"/>
          <w:sz w:val="28"/>
          <w:szCs w:val="28"/>
        </w:rPr>
      </w:pPr>
      <w:r>
        <w:fldChar w:fldCharType="begin"/>
      </w:r>
      <w:r>
        <w:instrText xml:space="preserve"> HYPERLINK \l "_Toc2591" </w:instrText>
      </w:r>
      <w:r>
        <w:fldChar w:fldCharType="separate"/>
      </w:r>
      <w:r>
        <w:rPr>
          <w:rFonts w:hint="eastAsia" w:ascii="楷体" w:hAnsi="楷体" w:eastAsia="楷体" w:cs="楷体"/>
          <w:sz w:val="28"/>
          <w:szCs w:val="28"/>
        </w:rPr>
        <w:t>第二节  实施生态环境污染防治工程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_Toc2591 </w:instrText>
      </w:r>
      <w:r>
        <w:rPr>
          <w:rFonts w:hint="eastAsia" w:ascii="楷体" w:hAnsi="楷体" w:eastAsia="楷体" w:cs="楷体"/>
          <w:sz w:val="28"/>
          <w:szCs w:val="28"/>
        </w:rPr>
        <w:fldChar w:fldCharType="separate"/>
      </w:r>
      <w:r>
        <w:rPr>
          <w:rFonts w:hint="eastAsia" w:ascii="楷体" w:hAnsi="楷体" w:eastAsia="楷体" w:cs="楷体"/>
          <w:sz w:val="28"/>
          <w:szCs w:val="28"/>
        </w:rPr>
        <w:t>23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34C09C54">
      <w:pPr>
        <w:pStyle w:val="12"/>
        <w:tabs>
          <w:tab w:val="right" w:leader="dot" w:pos="8754"/>
        </w:tabs>
        <w:rPr>
          <w:rFonts w:ascii="楷体" w:hAnsi="楷体" w:eastAsia="楷体" w:cs="楷体"/>
          <w:sz w:val="28"/>
          <w:szCs w:val="28"/>
        </w:rPr>
      </w:pPr>
      <w:r>
        <w:fldChar w:fldCharType="begin"/>
      </w:r>
      <w:r>
        <w:instrText xml:space="preserve"> HYPERLINK \l "_Toc4442" </w:instrText>
      </w:r>
      <w:r>
        <w:fldChar w:fldCharType="separate"/>
      </w:r>
      <w:r>
        <w:rPr>
          <w:rFonts w:hint="eastAsia" w:ascii="楷体" w:hAnsi="楷体" w:eastAsia="楷体" w:cs="楷体"/>
          <w:sz w:val="28"/>
          <w:szCs w:val="28"/>
        </w:rPr>
        <w:t>第三节  实施绿色生活方式倡导工程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_Toc4442 </w:instrText>
      </w:r>
      <w:r>
        <w:rPr>
          <w:rFonts w:hint="eastAsia" w:ascii="楷体" w:hAnsi="楷体" w:eastAsia="楷体" w:cs="楷体"/>
          <w:sz w:val="28"/>
          <w:szCs w:val="28"/>
        </w:rPr>
        <w:fldChar w:fldCharType="separate"/>
      </w:r>
      <w:r>
        <w:rPr>
          <w:rFonts w:hint="eastAsia" w:ascii="楷体" w:hAnsi="楷体" w:eastAsia="楷体" w:cs="楷体"/>
          <w:sz w:val="28"/>
          <w:szCs w:val="28"/>
        </w:rPr>
        <w:t>24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019D2E4B">
      <w:pPr>
        <w:pStyle w:val="10"/>
        <w:tabs>
          <w:tab w:val="right" w:leader="dot" w:pos="8754"/>
        </w:tabs>
        <w:rPr>
          <w:rFonts w:ascii="黑体" w:hAnsi="黑体" w:eastAsia="黑体" w:cs="黑体"/>
          <w:sz w:val="28"/>
          <w:szCs w:val="28"/>
        </w:rPr>
      </w:pPr>
      <w:r>
        <w:fldChar w:fldCharType="begin"/>
      </w:r>
      <w:r>
        <w:instrText xml:space="preserve"> HYPERLINK \l "_Toc8502" </w:instrText>
      </w:r>
      <w:r>
        <w:fldChar w:fldCharType="separate"/>
      </w:r>
      <w:r>
        <w:rPr>
          <w:rFonts w:hint="eastAsia" w:ascii="黑体" w:hAnsi="黑体" w:eastAsia="黑体" w:cs="黑体"/>
          <w:sz w:val="28"/>
          <w:szCs w:val="28"/>
        </w:rPr>
        <w:t>第六章  推进城乡融合发展  加速乡村振兴步伐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_Toc8502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77F3F8F">
      <w:pPr>
        <w:pStyle w:val="12"/>
        <w:tabs>
          <w:tab w:val="right" w:leader="dot" w:pos="8754"/>
        </w:tabs>
        <w:rPr>
          <w:rFonts w:ascii="楷体" w:hAnsi="楷体" w:eastAsia="楷体" w:cs="楷体"/>
          <w:sz w:val="28"/>
          <w:szCs w:val="28"/>
        </w:rPr>
      </w:pPr>
      <w:r>
        <w:fldChar w:fldCharType="begin"/>
      </w:r>
      <w:r>
        <w:instrText xml:space="preserve"> HYPERLINK \l "_Toc21931" </w:instrText>
      </w:r>
      <w:r>
        <w:fldChar w:fldCharType="separate"/>
      </w:r>
      <w:r>
        <w:rPr>
          <w:rFonts w:hint="eastAsia" w:ascii="楷体" w:hAnsi="楷体" w:eastAsia="楷体" w:cs="楷体"/>
          <w:sz w:val="28"/>
          <w:szCs w:val="28"/>
        </w:rPr>
        <w:t>第一节  实施乡村发展品质提升工程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_Toc21931 </w:instrText>
      </w:r>
      <w:r>
        <w:rPr>
          <w:rFonts w:hint="eastAsia" w:ascii="楷体" w:hAnsi="楷体" w:eastAsia="楷体" w:cs="楷体"/>
          <w:sz w:val="28"/>
          <w:szCs w:val="28"/>
        </w:rPr>
        <w:fldChar w:fldCharType="separate"/>
      </w:r>
      <w:r>
        <w:rPr>
          <w:rFonts w:hint="eastAsia" w:ascii="楷体" w:hAnsi="楷体" w:eastAsia="楷体" w:cs="楷体"/>
          <w:sz w:val="28"/>
          <w:szCs w:val="28"/>
        </w:rPr>
        <w:t>26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1A26C65F">
      <w:pPr>
        <w:pStyle w:val="12"/>
        <w:tabs>
          <w:tab w:val="right" w:leader="dot" w:pos="8754"/>
        </w:tabs>
        <w:rPr>
          <w:rFonts w:ascii="楷体" w:hAnsi="楷体" w:eastAsia="楷体" w:cs="楷体"/>
          <w:sz w:val="28"/>
          <w:szCs w:val="28"/>
        </w:rPr>
      </w:pPr>
      <w:r>
        <w:fldChar w:fldCharType="begin"/>
      </w:r>
      <w:r>
        <w:instrText xml:space="preserve"> HYPERLINK \l "_Toc20004" </w:instrText>
      </w:r>
      <w:r>
        <w:fldChar w:fldCharType="separate"/>
      </w:r>
      <w:r>
        <w:rPr>
          <w:rFonts w:hint="eastAsia" w:ascii="楷体" w:hAnsi="楷体" w:eastAsia="楷体" w:cs="楷体"/>
          <w:sz w:val="28"/>
          <w:szCs w:val="28"/>
        </w:rPr>
        <w:t>第二节  实施农村城镇化推进工程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_Toc20004 </w:instrText>
      </w:r>
      <w:r>
        <w:rPr>
          <w:rFonts w:hint="eastAsia" w:ascii="楷体" w:hAnsi="楷体" w:eastAsia="楷体" w:cs="楷体"/>
          <w:sz w:val="28"/>
          <w:szCs w:val="28"/>
        </w:rPr>
        <w:fldChar w:fldCharType="separate"/>
      </w:r>
      <w:r>
        <w:rPr>
          <w:rFonts w:hint="eastAsia" w:ascii="楷体" w:hAnsi="楷体" w:eastAsia="楷体" w:cs="楷体"/>
          <w:sz w:val="28"/>
          <w:szCs w:val="28"/>
        </w:rPr>
        <w:t>27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2FC8B56E">
      <w:pPr>
        <w:pStyle w:val="12"/>
        <w:tabs>
          <w:tab w:val="right" w:leader="dot" w:pos="8754"/>
        </w:tabs>
        <w:rPr>
          <w:rFonts w:ascii="楷体" w:hAnsi="楷体" w:eastAsia="楷体" w:cs="楷体"/>
          <w:sz w:val="28"/>
          <w:szCs w:val="28"/>
        </w:rPr>
      </w:pPr>
      <w:r>
        <w:fldChar w:fldCharType="begin"/>
      </w:r>
      <w:r>
        <w:instrText xml:space="preserve"> HYPERLINK \l "_Toc7518" </w:instrText>
      </w:r>
      <w:r>
        <w:fldChar w:fldCharType="separate"/>
      </w:r>
      <w:r>
        <w:rPr>
          <w:rFonts w:hint="eastAsia" w:ascii="楷体" w:hAnsi="楷体" w:eastAsia="楷体" w:cs="楷体"/>
          <w:sz w:val="28"/>
          <w:szCs w:val="28"/>
        </w:rPr>
        <w:t>第三节  实施乡村资源潜力升值工程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_Toc7518 </w:instrText>
      </w:r>
      <w:r>
        <w:rPr>
          <w:rFonts w:hint="eastAsia" w:ascii="楷体" w:hAnsi="楷体" w:eastAsia="楷体" w:cs="楷体"/>
          <w:sz w:val="28"/>
          <w:szCs w:val="28"/>
        </w:rPr>
        <w:fldChar w:fldCharType="separate"/>
      </w:r>
      <w:r>
        <w:rPr>
          <w:rFonts w:hint="eastAsia" w:ascii="楷体" w:hAnsi="楷体" w:eastAsia="楷体" w:cs="楷体"/>
          <w:sz w:val="28"/>
          <w:szCs w:val="28"/>
        </w:rPr>
        <w:t>28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488B07FE">
      <w:pPr>
        <w:pStyle w:val="10"/>
        <w:tabs>
          <w:tab w:val="right" w:leader="dot" w:pos="8754"/>
        </w:tabs>
        <w:rPr>
          <w:rFonts w:ascii="黑体" w:hAnsi="黑体" w:eastAsia="黑体" w:cs="黑体"/>
          <w:sz w:val="28"/>
          <w:szCs w:val="28"/>
        </w:rPr>
      </w:pPr>
      <w:r>
        <w:fldChar w:fldCharType="begin"/>
      </w:r>
      <w:r>
        <w:instrText xml:space="preserve"> HYPERLINK \l "_Toc32492" </w:instrText>
      </w:r>
      <w:r>
        <w:fldChar w:fldCharType="separate"/>
      </w:r>
      <w:r>
        <w:rPr>
          <w:rFonts w:hint="eastAsia" w:ascii="黑体" w:hAnsi="黑体" w:eastAsia="黑体" w:cs="黑体"/>
          <w:sz w:val="28"/>
          <w:szCs w:val="28"/>
        </w:rPr>
        <w:t>第七章  完善基本公共服务  改善人民生活品质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_Toc32492 </w:instrText>
      </w:r>
      <w:r>
        <w:rPr>
          <w:rFonts w:hint="eastAsia" w:ascii="黑体" w:hAnsi="黑体" w:eastAsia="黑体" w:cs="黑体"/>
          <w:sz w:val="28"/>
          <w:szCs w:val="28"/>
        </w:rPr>
        <w:fldChar w:fldCharType="separate"/>
      </w:r>
      <w:r>
        <w:rPr>
          <w:rFonts w:hint="eastAsia" w:ascii="黑体" w:hAnsi="黑体" w:eastAsia="黑体" w:cs="黑体"/>
          <w:sz w:val="28"/>
          <w:szCs w:val="28"/>
        </w:rPr>
        <w:t>30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ACB0898">
      <w:pPr>
        <w:pStyle w:val="12"/>
        <w:tabs>
          <w:tab w:val="right" w:leader="dot" w:pos="8754"/>
        </w:tabs>
        <w:rPr>
          <w:rFonts w:ascii="楷体" w:hAnsi="楷体" w:eastAsia="楷体" w:cs="楷体"/>
          <w:sz w:val="28"/>
          <w:szCs w:val="28"/>
        </w:rPr>
      </w:pPr>
      <w:r>
        <w:fldChar w:fldCharType="begin"/>
      </w:r>
      <w:r>
        <w:instrText xml:space="preserve"> HYPERLINK \l "_Toc25874" </w:instrText>
      </w:r>
      <w:r>
        <w:fldChar w:fldCharType="separate"/>
      </w:r>
      <w:r>
        <w:rPr>
          <w:rFonts w:hint="eastAsia" w:ascii="楷体" w:hAnsi="楷体" w:eastAsia="楷体" w:cs="楷体"/>
          <w:sz w:val="28"/>
          <w:szCs w:val="28"/>
        </w:rPr>
        <w:t>第一节  实施内外交通循环畅通工程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_Toc25874 </w:instrText>
      </w:r>
      <w:r>
        <w:rPr>
          <w:rFonts w:hint="eastAsia" w:ascii="楷体" w:hAnsi="楷体" w:eastAsia="楷体" w:cs="楷体"/>
          <w:sz w:val="28"/>
          <w:szCs w:val="28"/>
        </w:rPr>
        <w:fldChar w:fldCharType="separate"/>
      </w:r>
      <w:r>
        <w:rPr>
          <w:rFonts w:hint="eastAsia" w:ascii="楷体" w:hAnsi="楷体" w:eastAsia="楷体" w:cs="楷体"/>
          <w:sz w:val="28"/>
          <w:szCs w:val="28"/>
        </w:rPr>
        <w:t>30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5BE0D596">
      <w:pPr>
        <w:pStyle w:val="12"/>
        <w:tabs>
          <w:tab w:val="right" w:leader="dot" w:pos="8754"/>
        </w:tabs>
        <w:rPr>
          <w:rFonts w:ascii="楷体" w:hAnsi="楷体" w:eastAsia="楷体" w:cs="楷体"/>
          <w:sz w:val="28"/>
          <w:szCs w:val="28"/>
        </w:rPr>
      </w:pPr>
      <w:r>
        <w:fldChar w:fldCharType="begin"/>
      </w:r>
      <w:r>
        <w:instrText xml:space="preserve"> HYPERLINK \l "_Toc17350" </w:instrText>
      </w:r>
      <w:r>
        <w:fldChar w:fldCharType="separate"/>
      </w:r>
      <w:r>
        <w:rPr>
          <w:rFonts w:hint="eastAsia" w:ascii="楷体" w:hAnsi="楷体" w:eastAsia="楷体" w:cs="楷体"/>
          <w:sz w:val="28"/>
          <w:szCs w:val="28"/>
        </w:rPr>
        <w:t>第二节  实施养老服务能力提升工程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_Toc17350 </w:instrText>
      </w:r>
      <w:r>
        <w:rPr>
          <w:rFonts w:hint="eastAsia" w:ascii="楷体" w:hAnsi="楷体" w:eastAsia="楷体" w:cs="楷体"/>
          <w:sz w:val="28"/>
          <w:szCs w:val="28"/>
        </w:rPr>
        <w:fldChar w:fldCharType="separate"/>
      </w:r>
      <w:r>
        <w:rPr>
          <w:rFonts w:hint="eastAsia" w:ascii="楷体" w:hAnsi="楷体" w:eastAsia="楷体" w:cs="楷体"/>
          <w:sz w:val="28"/>
          <w:szCs w:val="28"/>
        </w:rPr>
        <w:t>30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78C409D6">
      <w:pPr>
        <w:pStyle w:val="12"/>
        <w:tabs>
          <w:tab w:val="right" w:leader="dot" w:pos="8754"/>
        </w:tabs>
        <w:rPr>
          <w:rFonts w:ascii="楷体" w:hAnsi="楷体" w:eastAsia="楷体" w:cs="楷体"/>
          <w:sz w:val="28"/>
          <w:szCs w:val="28"/>
        </w:rPr>
      </w:pPr>
      <w:r>
        <w:fldChar w:fldCharType="begin"/>
      </w:r>
      <w:r>
        <w:instrText xml:space="preserve"> HYPERLINK \l "_Toc14502" </w:instrText>
      </w:r>
      <w:r>
        <w:fldChar w:fldCharType="separate"/>
      </w:r>
      <w:r>
        <w:rPr>
          <w:rFonts w:hint="eastAsia" w:ascii="楷体" w:hAnsi="楷体" w:eastAsia="楷体" w:cs="楷体"/>
          <w:sz w:val="28"/>
          <w:szCs w:val="28"/>
        </w:rPr>
        <w:t>第三节  实施教育资源供给拓展工程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_Toc14502 </w:instrText>
      </w:r>
      <w:r>
        <w:rPr>
          <w:rFonts w:hint="eastAsia" w:ascii="楷体" w:hAnsi="楷体" w:eastAsia="楷体" w:cs="楷体"/>
          <w:sz w:val="28"/>
          <w:szCs w:val="28"/>
        </w:rPr>
        <w:fldChar w:fldCharType="separate"/>
      </w:r>
      <w:r>
        <w:rPr>
          <w:rFonts w:hint="eastAsia" w:ascii="楷体" w:hAnsi="楷体" w:eastAsia="楷体" w:cs="楷体"/>
          <w:sz w:val="28"/>
          <w:szCs w:val="28"/>
        </w:rPr>
        <w:t>32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107A3D8E">
      <w:pPr>
        <w:pStyle w:val="12"/>
        <w:tabs>
          <w:tab w:val="right" w:leader="dot" w:pos="8754"/>
        </w:tabs>
        <w:rPr>
          <w:rFonts w:ascii="楷体" w:hAnsi="楷体" w:eastAsia="楷体" w:cs="楷体"/>
          <w:sz w:val="28"/>
          <w:szCs w:val="28"/>
        </w:rPr>
      </w:pPr>
      <w:r>
        <w:fldChar w:fldCharType="begin"/>
      </w:r>
      <w:r>
        <w:instrText xml:space="preserve"> HYPERLINK \l "_Toc6592" </w:instrText>
      </w:r>
      <w:r>
        <w:fldChar w:fldCharType="separate"/>
      </w:r>
      <w:r>
        <w:rPr>
          <w:rFonts w:hint="eastAsia" w:ascii="楷体" w:hAnsi="楷体" w:eastAsia="楷体" w:cs="楷体"/>
          <w:sz w:val="28"/>
          <w:szCs w:val="28"/>
        </w:rPr>
        <w:t>第四节  实施医疗卫生设施优化工程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_Toc6592 </w:instrText>
      </w:r>
      <w:r>
        <w:rPr>
          <w:rFonts w:hint="eastAsia" w:ascii="楷体" w:hAnsi="楷体" w:eastAsia="楷体" w:cs="楷体"/>
          <w:sz w:val="28"/>
          <w:szCs w:val="28"/>
        </w:rPr>
        <w:fldChar w:fldCharType="separate"/>
      </w:r>
      <w:r>
        <w:rPr>
          <w:rFonts w:hint="eastAsia" w:ascii="楷体" w:hAnsi="楷体" w:eastAsia="楷体" w:cs="楷体"/>
          <w:sz w:val="28"/>
          <w:szCs w:val="28"/>
        </w:rPr>
        <w:t>32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00103B69">
      <w:pPr>
        <w:pStyle w:val="12"/>
        <w:tabs>
          <w:tab w:val="right" w:leader="dot" w:pos="8754"/>
        </w:tabs>
        <w:rPr>
          <w:rFonts w:ascii="楷体" w:hAnsi="楷体" w:eastAsia="楷体" w:cs="楷体"/>
          <w:sz w:val="28"/>
          <w:szCs w:val="28"/>
        </w:rPr>
      </w:pPr>
      <w:r>
        <w:fldChar w:fldCharType="begin"/>
      </w:r>
      <w:r>
        <w:instrText xml:space="preserve"> HYPERLINK \l "_Toc7990" </w:instrText>
      </w:r>
      <w:r>
        <w:fldChar w:fldCharType="separate"/>
      </w:r>
      <w:r>
        <w:rPr>
          <w:rFonts w:hint="eastAsia" w:ascii="楷体" w:hAnsi="楷体" w:eastAsia="楷体" w:cs="楷体"/>
          <w:sz w:val="28"/>
          <w:szCs w:val="28"/>
        </w:rPr>
        <w:t>第五节  实施就业服务质量提升工程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_Toc7990 </w:instrText>
      </w:r>
      <w:r>
        <w:rPr>
          <w:rFonts w:hint="eastAsia" w:ascii="楷体" w:hAnsi="楷体" w:eastAsia="楷体" w:cs="楷体"/>
          <w:sz w:val="28"/>
          <w:szCs w:val="28"/>
        </w:rPr>
        <w:fldChar w:fldCharType="separate"/>
      </w:r>
      <w:r>
        <w:rPr>
          <w:rFonts w:hint="eastAsia" w:ascii="楷体" w:hAnsi="楷体" w:eastAsia="楷体" w:cs="楷体"/>
          <w:sz w:val="28"/>
          <w:szCs w:val="28"/>
        </w:rPr>
        <w:t>34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2FA7C4B4">
      <w:pPr>
        <w:pStyle w:val="12"/>
        <w:tabs>
          <w:tab w:val="right" w:leader="dot" w:pos="8754"/>
        </w:tabs>
        <w:rPr>
          <w:rFonts w:ascii="楷体" w:hAnsi="楷体" w:eastAsia="楷体" w:cs="楷体"/>
          <w:sz w:val="28"/>
          <w:szCs w:val="28"/>
        </w:rPr>
      </w:pPr>
      <w:r>
        <w:fldChar w:fldCharType="begin"/>
      </w:r>
      <w:r>
        <w:instrText xml:space="preserve"> HYPERLINK \l "_Toc7350" </w:instrText>
      </w:r>
      <w:r>
        <w:fldChar w:fldCharType="separate"/>
      </w:r>
      <w:r>
        <w:rPr>
          <w:rFonts w:hint="eastAsia" w:ascii="楷体" w:hAnsi="楷体" w:eastAsia="楷体" w:cs="楷体"/>
          <w:sz w:val="28"/>
          <w:szCs w:val="28"/>
        </w:rPr>
        <w:t>第六节  实施居民生活设施提升工程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_Toc7350 </w:instrText>
      </w:r>
      <w:r>
        <w:rPr>
          <w:rFonts w:hint="eastAsia" w:ascii="楷体" w:hAnsi="楷体" w:eastAsia="楷体" w:cs="楷体"/>
          <w:sz w:val="28"/>
          <w:szCs w:val="28"/>
        </w:rPr>
        <w:fldChar w:fldCharType="separate"/>
      </w:r>
      <w:r>
        <w:rPr>
          <w:rFonts w:hint="eastAsia" w:ascii="楷体" w:hAnsi="楷体" w:eastAsia="楷体" w:cs="楷体"/>
          <w:sz w:val="28"/>
          <w:szCs w:val="28"/>
        </w:rPr>
        <w:t>34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02A6714B">
      <w:pPr>
        <w:pStyle w:val="10"/>
        <w:tabs>
          <w:tab w:val="right" w:leader="dot" w:pos="8754"/>
        </w:tabs>
        <w:rPr>
          <w:rFonts w:ascii="黑体" w:hAnsi="黑体" w:eastAsia="黑体" w:cs="黑体"/>
          <w:sz w:val="28"/>
          <w:szCs w:val="28"/>
        </w:rPr>
      </w:pPr>
      <w:r>
        <w:fldChar w:fldCharType="begin"/>
      </w:r>
      <w:r>
        <w:instrText xml:space="preserve"> HYPERLINK \l "_Toc8702" </w:instrText>
      </w:r>
      <w:r>
        <w:fldChar w:fldCharType="separate"/>
      </w:r>
      <w:r>
        <w:rPr>
          <w:rFonts w:hint="eastAsia" w:ascii="黑体" w:hAnsi="黑体" w:eastAsia="黑体" w:cs="黑体"/>
          <w:sz w:val="28"/>
          <w:szCs w:val="28"/>
        </w:rPr>
        <w:t>第八章  创新街区社会治理  实现共建共治共享</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_Toc8702 </w:instrText>
      </w:r>
      <w:r>
        <w:rPr>
          <w:rFonts w:hint="eastAsia" w:ascii="黑体" w:hAnsi="黑体" w:eastAsia="黑体" w:cs="黑体"/>
          <w:sz w:val="28"/>
          <w:szCs w:val="28"/>
        </w:rPr>
        <w:fldChar w:fldCharType="separate"/>
      </w:r>
      <w:r>
        <w:rPr>
          <w:rFonts w:hint="eastAsia" w:ascii="黑体" w:hAnsi="黑体" w:eastAsia="黑体" w:cs="黑体"/>
          <w:sz w:val="28"/>
          <w:szCs w:val="28"/>
        </w:rPr>
        <w:t>36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A0CB06A">
      <w:pPr>
        <w:pStyle w:val="12"/>
        <w:tabs>
          <w:tab w:val="right" w:leader="dot" w:pos="8754"/>
        </w:tabs>
        <w:rPr>
          <w:rFonts w:ascii="楷体" w:hAnsi="楷体" w:eastAsia="楷体" w:cs="楷体"/>
          <w:sz w:val="28"/>
          <w:szCs w:val="28"/>
        </w:rPr>
      </w:pPr>
      <w:r>
        <w:fldChar w:fldCharType="begin"/>
      </w:r>
      <w:r>
        <w:instrText xml:space="preserve"> HYPERLINK \l "_Toc25218" </w:instrText>
      </w:r>
      <w:r>
        <w:fldChar w:fldCharType="separate"/>
      </w:r>
      <w:r>
        <w:rPr>
          <w:rFonts w:hint="eastAsia" w:ascii="楷体" w:hAnsi="楷体" w:eastAsia="楷体" w:cs="楷体"/>
          <w:sz w:val="28"/>
          <w:szCs w:val="28"/>
        </w:rPr>
        <w:t>第一节  实施社会共建共治共享工程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_Toc25218 </w:instrText>
      </w:r>
      <w:r>
        <w:rPr>
          <w:rFonts w:hint="eastAsia" w:ascii="楷体" w:hAnsi="楷体" w:eastAsia="楷体" w:cs="楷体"/>
          <w:sz w:val="28"/>
          <w:szCs w:val="28"/>
        </w:rPr>
        <w:fldChar w:fldCharType="separate"/>
      </w:r>
      <w:r>
        <w:rPr>
          <w:rFonts w:hint="eastAsia" w:ascii="楷体" w:hAnsi="楷体" w:eastAsia="楷体" w:cs="楷体"/>
          <w:sz w:val="28"/>
          <w:szCs w:val="28"/>
        </w:rPr>
        <w:t>36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1302F639">
      <w:pPr>
        <w:pStyle w:val="12"/>
        <w:tabs>
          <w:tab w:val="right" w:leader="dot" w:pos="8754"/>
        </w:tabs>
        <w:rPr>
          <w:rFonts w:ascii="楷体" w:hAnsi="楷体" w:eastAsia="楷体" w:cs="楷体"/>
          <w:sz w:val="28"/>
          <w:szCs w:val="28"/>
        </w:rPr>
      </w:pPr>
      <w:r>
        <w:fldChar w:fldCharType="begin"/>
      </w:r>
      <w:r>
        <w:instrText xml:space="preserve"> HYPERLINK \l "_Toc4818" </w:instrText>
      </w:r>
      <w:r>
        <w:fldChar w:fldCharType="separate"/>
      </w:r>
      <w:r>
        <w:rPr>
          <w:rFonts w:hint="eastAsia" w:ascii="楷体" w:hAnsi="楷体" w:eastAsia="楷体" w:cs="楷体"/>
          <w:sz w:val="28"/>
          <w:szCs w:val="28"/>
        </w:rPr>
        <w:t>第二节  实施法治海滨提质工程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_Toc4818 </w:instrText>
      </w:r>
      <w:r>
        <w:rPr>
          <w:rFonts w:hint="eastAsia" w:ascii="楷体" w:hAnsi="楷体" w:eastAsia="楷体" w:cs="楷体"/>
          <w:sz w:val="28"/>
          <w:szCs w:val="28"/>
        </w:rPr>
        <w:fldChar w:fldCharType="separate"/>
      </w:r>
      <w:r>
        <w:rPr>
          <w:rFonts w:hint="eastAsia" w:ascii="楷体" w:hAnsi="楷体" w:eastAsia="楷体" w:cs="楷体"/>
          <w:sz w:val="28"/>
          <w:szCs w:val="28"/>
        </w:rPr>
        <w:t>37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4FB3DA8D">
      <w:pPr>
        <w:pStyle w:val="12"/>
        <w:tabs>
          <w:tab w:val="right" w:leader="dot" w:pos="8754"/>
        </w:tabs>
        <w:rPr>
          <w:rFonts w:ascii="楷体" w:hAnsi="楷体" w:eastAsia="楷体" w:cs="楷体"/>
          <w:sz w:val="28"/>
          <w:szCs w:val="28"/>
        </w:rPr>
      </w:pPr>
      <w:r>
        <w:fldChar w:fldCharType="begin"/>
      </w:r>
      <w:r>
        <w:instrText xml:space="preserve"> HYPERLINK \l "_Toc17276" </w:instrText>
      </w:r>
      <w:r>
        <w:fldChar w:fldCharType="separate"/>
      </w:r>
      <w:r>
        <w:rPr>
          <w:rFonts w:hint="eastAsia" w:ascii="楷体" w:hAnsi="楷体" w:eastAsia="楷体" w:cs="楷体"/>
          <w:sz w:val="28"/>
          <w:szCs w:val="28"/>
        </w:rPr>
        <w:t>第三节  实施安全责任体系建设工程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_Toc17276 </w:instrText>
      </w:r>
      <w:r>
        <w:rPr>
          <w:rFonts w:hint="eastAsia" w:ascii="楷体" w:hAnsi="楷体" w:eastAsia="楷体" w:cs="楷体"/>
          <w:sz w:val="28"/>
          <w:szCs w:val="28"/>
        </w:rPr>
        <w:fldChar w:fldCharType="separate"/>
      </w:r>
      <w:r>
        <w:rPr>
          <w:rFonts w:hint="eastAsia" w:ascii="楷体" w:hAnsi="楷体" w:eastAsia="楷体" w:cs="楷体"/>
          <w:sz w:val="28"/>
          <w:szCs w:val="28"/>
        </w:rPr>
        <w:t>38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0042F530">
      <w:pPr>
        <w:pStyle w:val="12"/>
        <w:tabs>
          <w:tab w:val="right" w:leader="dot" w:pos="8754"/>
        </w:tabs>
        <w:rPr>
          <w:rFonts w:ascii="楷体" w:hAnsi="楷体" w:eastAsia="楷体" w:cs="楷体"/>
          <w:sz w:val="28"/>
          <w:szCs w:val="28"/>
        </w:rPr>
      </w:pPr>
      <w:r>
        <w:fldChar w:fldCharType="begin"/>
      </w:r>
      <w:r>
        <w:instrText xml:space="preserve"> HYPERLINK \l "_Toc26395" </w:instrText>
      </w:r>
      <w:r>
        <w:fldChar w:fldCharType="separate"/>
      </w:r>
      <w:r>
        <w:rPr>
          <w:rFonts w:hint="eastAsia" w:ascii="楷体" w:hAnsi="楷体" w:eastAsia="楷体" w:cs="楷体"/>
          <w:sz w:val="28"/>
          <w:szCs w:val="28"/>
        </w:rPr>
        <w:t>第四节  实施安全保障机制优化工程</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_Toc26395 </w:instrText>
      </w:r>
      <w:r>
        <w:rPr>
          <w:rFonts w:hint="eastAsia" w:ascii="楷体" w:hAnsi="楷体" w:eastAsia="楷体" w:cs="楷体"/>
          <w:sz w:val="28"/>
          <w:szCs w:val="28"/>
        </w:rPr>
        <w:fldChar w:fldCharType="separate"/>
      </w:r>
      <w:r>
        <w:rPr>
          <w:rFonts w:hint="eastAsia" w:ascii="楷体" w:hAnsi="楷体" w:eastAsia="楷体" w:cs="楷体"/>
          <w:sz w:val="28"/>
          <w:szCs w:val="28"/>
        </w:rPr>
        <w:t>39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4F6EE407">
      <w:pPr>
        <w:pStyle w:val="10"/>
        <w:tabs>
          <w:tab w:val="right" w:leader="dot" w:pos="8754"/>
        </w:tabs>
        <w:rPr>
          <w:rFonts w:ascii="黑体" w:hAnsi="黑体" w:eastAsia="黑体" w:cs="黑体"/>
          <w:sz w:val="28"/>
          <w:szCs w:val="28"/>
        </w:rPr>
      </w:pPr>
      <w:r>
        <w:fldChar w:fldCharType="begin"/>
      </w:r>
      <w:r>
        <w:instrText xml:space="preserve"> HYPERLINK \l "_Toc11290" </w:instrText>
      </w:r>
      <w:r>
        <w:fldChar w:fldCharType="separate"/>
      </w:r>
      <w:r>
        <w:rPr>
          <w:rFonts w:hint="eastAsia" w:ascii="黑体" w:hAnsi="黑体" w:eastAsia="黑体" w:cs="黑体"/>
          <w:sz w:val="28"/>
          <w:szCs w:val="28"/>
        </w:rPr>
        <w:t>第九章  保障措施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_Toc11290 </w:instrText>
      </w:r>
      <w:r>
        <w:rPr>
          <w:rFonts w:hint="eastAsia" w:ascii="黑体" w:hAnsi="黑体" w:eastAsia="黑体" w:cs="黑体"/>
          <w:sz w:val="28"/>
          <w:szCs w:val="28"/>
        </w:rPr>
        <w:fldChar w:fldCharType="separate"/>
      </w:r>
      <w:r>
        <w:rPr>
          <w:rFonts w:hint="eastAsia" w:ascii="黑体" w:hAnsi="黑体" w:eastAsia="黑体" w:cs="黑体"/>
          <w:sz w:val="28"/>
          <w:szCs w:val="28"/>
        </w:rPr>
        <w:t>41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4E9244F">
      <w:pPr>
        <w:pStyle w:val="12"/>
        <w:tabs>
          <w:tab w:val="right" w:leader="dot" w:pos="8754"/>
        </w:tabs>
        <w:rPr>
          <w:rFonts w:ascii="楷体" w:hAnsi="楷体" w:eastAsia="楷体" w:cs="楷体"/>
          <w:sz w:val="28"/>
          <w:szCs w:val="28"/>
        </w:rPr>
      </w:pPr>
      <w:r>
        <w:fldChar w:fldCharType="begin"/>
      </w:r>
      <w:r>
        <w:instrText xml:space="preserve"> HYPERLINK \l "_Toc7035" </w:instrText>
      </w:r>
      <w:r>
        <w:fldChar w:fldCharType="separate"/>
      </w:r>
      <w:r>
        <w:rPr>
          <w:rFonts w:hint="eastAsia" w:ascii="楷体" w:hAnsi="楷体" w:eastAsia="楷体" w:cs="楷体"/>
          <w:sz w:val="28"/>
          <w:szCs w:val="28"/>
        </w:rPr>
        <w:t>第一节  发挥党的领导核心作用</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_Toc7035 </w:instrText>
      </w:r>
      <w:r>
        <w:rPr>
          <w:rFonts w:hint="eastAsia" w:ascii="楷体" w:hAnsi="楷体" w:eastAsia="楷体" w:cs="楷体"/>
          <w:sz w:val="28"/>
          <w:szCs w:val="28"/>
        </w:rPr>
        <w:fldChar w:fldCharType="separate"/>
      </w:r>
      <w:r>
        <w:rPr>
          <w:rFonts w:hint="eastAsia" w:ascii="楷体" w:hAnsi="楷体" w:eastAsia="楷体" w:cs="楷体"/>
          <w:sz w:val="28"/>
          <w:szCs w:val="28"/>
        </w:rPr>
        <w:t>41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62733D0F">
      <w:pPr>
        <w:pStyle w:val="12"/>
        <w:tabs>
          <w:tab w:val="right" w:leader="dot" w:pos="8754"/>
        </w:tabs>
        <w:rPr>
          <w:rFonts w:ascii="楷体" w:hAnsi="楷体" w:eastAsia="楷体" w:cs="楷体"/>
          <w:sz w:val="28"/>
          <w:szCs w:val="28"/>
        </w:rPr>
      </w:pPr>
      <w:r>
        <w:fldChar w:fldCharType="begin"/>
      </w:r>
      <w:r>
        <w:instrText xml:space="preserve"> HYPERLINK \l "_Toc26729" </w:instrText>
      </w:r>
      <w:r>
        <w:fldChar w:fldCharType="separate"/>
      </w:r>
      <w:r>
        <w:rPr>
          <w:rFonts w:hint="eastAsia" w:ascii="楷体" w:hAnsi="楷体" w:eastAsia="楷体" w:cs="楷体"/>
          <w:sz w:val="28"/>
          <w:szCs w:val="28"/>
        </w:rPr>
        <w:t>第二节  强化规划实施支撑</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_Toc26729 </w:instrText>
      </w:r>
      <w:r>
        <w:rPr>
          <w:rFonts w:hint="eastAsia" w:ascii="楷体" w:hAnsi="楷体" w:eastAsia="楷体" w:cs="楷体"/>
          <w:sz w:val="28"/>
          <w:szCs w:val="28"/>
        </w:rPr>
        <w:fldChar w:fldCharType="separate"/>
      </w:r>
      <w:r>
        <w:rPr>
          <w:rFonts w:hint="eastAsia" w:ascii="楷体" w:hAnsi="楷体" w:eastAsia="楷体" w:cs="楷体"/>
          <w:sz w:val="28"/>
          <w:szCs w:val="28"/>
        </w:rPr>
        <w:t>41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5B3ED381">
      <w:pPr>
        <w:pStyle w:val="12"/>
        <w:tabs>
          <w:tab w:val="right" w:leader="dot" w:pos="8754"/>
        </w:tabs>
        <w:rPr>
          <w:rFonts w:ascii="楷体" w:hAnsi="楷体" w:eastAsia="楷体" w:cs="楷体"/>
          <w:sz w:val="28"/>
          <w:szCs w:val="28"/>
        </w:rPr>
      </w:pPr>
      <w:r>
        <w:fldChar w:fldCharType="begin"/>
      </w:r>
      <w:r>
        <w:instrText xml:space="preserve"> HYPERLINK \l "_Toc28126" </w:instrText>
      </w:r>
      <w:r>
        <w:fldChar w:fldCharType="separate"/>
      </w:r>
      <w:r>
        <w:rPr>
          <w:rFonts w:hint="eastAsia" w:ascii="楷体" w:hAnsi="楷体" w:eastAsia="楷体" w:cs="楷体"/>
          <w:sz w:val="28"/>
          <w:szCs w:val="28"/>
        </w:rPr>
        <w:t>第三节  建立协调衔接机制</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_Toc28126 </w:instrText>
      </w:r>
      <w:r>
        <w:rPr>
          <w:rFonts w:hint="eastAsia" w:ascii="楷体" w:hAnsi="楷体" w:eastAsia="楷体" w:cs="楷体"/>
          <w:sz w:val="28"/>
          <w:szCs w:val="28"/>
        </w:rPr>
        <w:fldChar w:fldCharType="separate"/>
      </w:r>
      <w:r>
        <w:rPr>
          <w:rFonts w:hint="eastAsia" w:ascii="楷体" w:hAnsi="楷体" w:eastAsia="楷体" w:cs="楷体"/>
          <w:sz w:val="28"/>
          <w:szCs w:val="28"/>
        </w:rPr>
        <w:t>42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45779191">
      <w:pPr>
        <w:pStyle w:val="12"/>
        <w:tabs>
          <w:tab w:val="right" w:leader="dot" w:pos="8754"/>
        </w:tabs>
        <w:rPr>
          <w:rFonts w:ascii="楷体" w:hAnsi="楷体" w:eastAsia="楷体" w:cs="楷体"/>
          <w:sz w:val="28"/>
          <w:szCs w:val="28"/>
        </w:rPr>
      </w:pPr>
      <w:r>
        <w:fldChar w:fldCharType="begin"/>
      </w:r>
      <w:r>
        <w:instrText xml:space="preserve"> HYPERLINK \l "_Toc8309" </w:instrText>
      </w:r>
      <w:r>
        <w:fldChar w:fldCharType="separate"/>
      </w:r>
      <w:r>
        <w:rPr>
          <w:rFonts w:hint="eastAsia" w:ascii="楷体" w:hAnsi="楷体" w:eastAsia="楷体" w:cs="楷体"/>
          <w:sz w:val="28"/>
          <w:szCs w:val="28"/>
        </w:rPr>
        <w:t>第四节  完善配套保障</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_Toc8309 </w:instrText>
      </w:r>
      <w:r>
        <w:rPr>
          <w:rFonts w:hint="eastAsia" w:ascii="楷体" w:hAnsi="楷体" w:eastAsia="楷体" w:cs="楷体"/>
          <w:sz w:val="28"/>
          <w:szCs w:val="28"/>
        </w:rPr>
        <w:fldChar w:fldCharType="separate"/>
      </w:r>
      <w:r>
        <w:rPr>
          <w:rFonts w:hint="eastAsia" w:ascii="楷体" w:hAnsi="楷体" w:eastAsia="楷体" w:cs="楷体"/>
          <w:sz w:val="28"/>
          <w:szCs w:val="28"/>
        </w:rPr>
        <w:t>43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14:paraId="4A74D7DC">
      <w:pPr>
        <w:pStyle w:val="13"/>
        <w:snapToGrid w:val="0"/>
        <w:spacing w:line="324" w:lineRule="auto"/>
        <w:ind w:firstLine="600"/>
        <w:rPr>
          <w:rFonts w:ascii="Times New Roman" w:hAnsi="Times New Roman" w:eastAsia="楷体_GB2312" w:cs="Times New Roman"/>
          <w:sz w:val="28"/>
          <w:szCs w:val="28"/>
        </w:rPr>
      </w:pPr>
      <w:r>
        <w:rPr>
          <w:rFonts w:ascii="Times New Roman" w:hAnsi="Times New Roman" w:eastAsia="楷体_GB2312" w:cs="Times New Roman"/>
          <w:szCs w:val="28"/>
        </w:rPr>
        <w:fldChar w:fldCharType="end"/>
      </w:r>
    </w:p>
    <w:p w14:paraId="5E0C650C">
      <w:pPr>
        <w:pStyle w:val="13"/>
        <w:ind w:firstLine="560"/>
        <w:rPr>
          <w:rFonts w:ascii="Times New Roman" w:hAnsi="Times New Roman" w:eastAsia="黑体" w:cs="Times New Roman"/>
          <w:sz w:val="28"/>
          <w:szCs w:val="28"/>
        </w:rPr>
      </w:pPr>
    </w:p>
    <w:p w14:paraId="1FE707CE">
      <w:pPr>
        <w:pStyle w:val="13"/>
        <w:ind w:firstLine="600"/>
        <w:rPr>
          <w:rFonts w:ascii="Times New Roman" w:hAnsi="Times New Roman" w:eastAsia="黑体" w:cs="Times New Roman"/>
        </w:rPr>
        <w:sectPr>
          <w:pgSz w:w="11906" w:h="16838"/>
          <w:pgMar w:top="1440" w:right="1576" w:bottom="1440" w:left="1576" w:header="851" w:footer="992" w:gutter="0"/>
          <w:cols w:space="425" w:num="1"/>
          <w:docGrid w:type="lines" w:linePitch="312" w:charSpace="0"/>
        </w:sectPr>
      </w:pPr>
    </w:p>
    <w:p w14:paraId="32943C9D">
      <w:pPr>
        <w:pStyle w:val="3"/>
        <w:keepNext w:val="0"/>
        <w:keepLines w:val="0"/>
        <w:pageBreakBefore/>
        <w:adjustRightInd w:val="0"/>
        <w:snapToGrid/>
        <w:spacing w:beforeLines="0" w:afterLines="0"/>
        <w:rPr>
          <w:rFonts w:ascii="Times New Roman" w:hAnsi="Times New Roman" w:eastAsia="方正小标宋简体" w:cs="Times New Roman"/>
          <w:b w:val="0"/>
          <w:kern w:val="2"/>
          <w:sz w:val="36"/>
          <w:szCs w:val="36"/>
          <w:lang w:val="zh-CN"/>
        </w:rPr>
      </w:pPr>
      <w:bookmarkStart w:id="2" w:name="_Toc23719"/>
      <w:r>
        <w:rPr>
          <w:rFonts w:ascii="Times New Roman" w:hAnsi="Times New Roman" w:eastAsia="方正小标宋简体" w:cs="Times New Roman"/>
          <w:b w:val="0"/>
          <w:kern w:val="2"/>
          <w:sz w:val="36"/>
          <w:szCs w:val="36"/>
        </w:rPr>
        <w:t xml:space="preserve">序  </w:t>
      </w:r>
      <w:r>
        <w:rPr>
          <w:rFonts w:ascii="Times New Roman" w:hAnsi="Times New Roman" w:eastAsia="方正小标宋简体" w:cs="Times New Roman"/>
          <w:b w:val="0"/>
          <w:kern w:val="2"/>
          <w:sz w:val="36"/>
          <w:szCs w:val="36"/>
          <w:lang w:val="zh-CN"/>
        </w:rPr>
        <w:t>言</w:t>
      </w:r>
      <w:bookmarkEnd w:id="2"/>
    </w:p>
    <w:p w14:paraId="3D19CC60">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五”时期是我国全面建成小康社会、实现第一个百年奋斗目标之后，乘势而上开启全面建设社会主义现代化国家新征程、向第二个百年奋斗目标进军的第一个五年，是滨海新区加快推进新时代高质量发展，落实“双城”发展布局，推进“二次创业”，全面建设生态、智慧、港产城融合的宜居宜业美丽滨海新城的关键时期。海滨街位于滨海新区核心区与黄骅市之间，是滨海新区油田组团的重要组成部分，也是天津市辐射河北东南沿海地区的重要节点，将为“十四五”时期“美丽滨城”建设发挥重要作用。</w:t>
      </w:r>
    </w:p>
    <w:p w14:paraId="20F3D5F2">
      <w:pPr>
        <w:adjustRightInd w:val="0"/>
        <w:snapToGrid w:val="0"/>
        <w:spacing w:line="600" w:lineRule="exact"/>
        <w:ind w:firstLine="640" w:firstLineChars="200"/>
        <w:rPr>
          <w:rFonts w:ascii="Times New Roman" w:hAnsi="Times New Roman" w:eastAsia="仿宋" w:cs="Times New Roman"/>
          <w:sz w:val="32"/>
          <w:szCs w:val="32"/>
          <w:lang w:val="zh-CN"/>
        </w:rPr>
      </w:pPr>
      <w:r>
        <w:rPr>
          <w:rFonts w:ascii="Times New Roman" w:hAnsi="Times New Roman" w:eastAsia="仿宋_GB2312" w:cs="Times New Roman"/>
          <w:sz w:val="32"/>
          <w:szCs w:val="32"/>
        </w:rPr>
        <w:t>海滨街“十四五”规划纲要依据《中共天津市委关于制定天津市国民经济和社会发展第十四个五年规划和二</w:t>
      </w:r>
      <w:r>
        <w:rPr>
          <w:rFonts w:ascii="Times New Roman" w:hAnsi="Times New Roman" w:eastAsia="微软雅黑" w:cs="Times New Roman"/>
          <w:sz w:val="32"/>
          <w:szCs w:val="32"/>
        </w:rPr>
        <w:t>〇</w:t>
      </w:r>
      <w:r>
        <w:rPr>
          <w:rFonts w:ascii="Times New Roman" w:hAnsi="Times New Roman" w:eastAsia="仿宋_GB2312" w:cs="Times New Roman"/>
          <w:sz w:val="32"/>
          <w:szCs w:val="32"/>
        </w:rPr>
        <w:t>三五年远景目标的建议》、《中共天津市滨海新区区委关于制定滨海新区国民经济和社会发展第十四个五年规划和二</w:t>
      </w:r>
      <w:r>
        <w:rPr>
          <w:rFonts w:ascii="Times New Roman" w:hAnsi="Times New Roman" w:eastAsia="微软雅黑" w:cs="Times New Roman"/>
          <w:sz w:val="32"/>
          <w:szCs w:val="32"/>
        </w:rPr>
        <w:t>〇</w:t>
      </w:r>
      <w:r>
        <w:rPr>
          <w:rFonts w:ascii="Times New Roman" w:hAnsi="Times New Roman" w:eastAsia="仿宋_GB2312" w:cs="Times New Roman"/>
          <w:sz w:val="32"/>
          <w:szCs w:val="32"/>
        </w:rPr>
        <w:t>三五年远景目标的建议》和《天津市滨海新区国民经济和社会发展第十四个五年规划和二</w:t>
      </w:r>
      <w:r>
        <w:rPr>
          <w:rFonts w:ascii="Times New Roman" w:hAnsi="Times New Roman" w:eastAsia="微软雅黑" w:cs="Times New Roman"/>
          <w:sz w:val="32"/>
          <w:szCs w:val="32"/>
        </w:rPr>
        <w:t>〇</w:t>
      </w:r>
      <w:r>
        <w:rPr>
          <w:rFonts w:ascii="Times New Roman" w:hAnsi="Times New Roman" w:eastAsia="仿宋_GB2312" w:cs="Times New Roman"/>
          <w:sz w:val="32"/>
          <w:szCs w:val="32"/>
        </w:rPr>
        <w:t>三五年远景目标纲要》进行编制，主要阐明“十四五”时期的发展目标、发展任务和发展重点，深化落实滨海新区“十四五”发展各项方针政策和规划要求，是未来五年实现海滨街经济高质量发展、生态环境显著改善、文明程度不断上升、治理效能持续升级、民生福祉快速攀升等全面发展的重要依据。</w:t>
      </w:r>
    </w:p>
    <w:p w14:paraId="272E000F">
      <w:pPr>
        <w:pStyle w:val="13"/>
        <w:adjustRightInd w:val="0"/>
        <w:spacing w:line="590" w:lineRule="exact"/>
        <w:ind w:firstLine="0" w:firstLineChars="0"/>
        <w:rPr>
          <w:rFonts w:ascii="Times New Roman" w:hAnsi="Times New Roman" w:eastAsia="仿宋" w:cs="Times New Roman"/>
          <w:color w:val="0000FF"/>
          <w:szCs w:val="30"/>
          <w:lang w:val="zh-CN"/>
        </w:rPr>
      </w:pPr>
    </w:p>
    <w:p w14:paraId="30640C91">
      <w:pPr>
        <w:pStyle w:val="13"/>
        <w:adjustRightInd w:val="0"/>
        <w:spacing w:line="590" w:lineRule="exact"/>
        <w:ind w:firstLine="600"/>
        <w:rPr>
          <w:rFonts w:ascii="Times New Roman" w:hAnsi="Times New Roman" w:eastAsia="仿宋" w:cs="Times New Roman"/>
          <w:color w:val="000000" w:themeColor="text1"/>
          <w:szCs w:val="30"/>
          <w:lang w:val="zh-CN"/>
        </w:rPr>
        <w:sectPr>
          <w:footerReference r:id="rId4" w:type="default"/>
          <w:pgSz w:w="11906" w:h="16838"/>
          <w:pgMar w:top="1440" w:right="1689" w:bottom="1440" w:left="1689" w:header="851" w:footer="992" w:gutter="0"/>
          <w:pgNumType w:start="1"/>
          <w:cols w:space="0" w:num="1"/>
          <w:docGrid w:type="lines" w:linePitch="312" w:charSpace="0"/>
        </w:sectPr>
      </w:pPr>
    </w:p>
    <w:p w14:paraId="50442A8E">
      <w:pPr>
        <w:pStyle w:val="3"/>
        <w:keepNext w:val="0"/>
        <w:keepLines w:val="0"/>
        <w:pageBreakBefore/>
        <w:adjustRightInd w:val="0"/>
        <w:snapToGrid/>
        <w:spacing w:beforeLines="0" w:afterLines="0"/>
        <w:rPr>
          <w:rFonts w:ascii="Times New Roman" w:hAnsi="Times New Roman" w:eastAsia="方正小标宋简体" w:cs="Times New Roman"/>
          <w:b w:val="0"/>
          <w:kern w:val="2"/>
          <w:sz w:val="36"/>
          <w:szCs w:val="36"/>
        </w:rPr>
      </w:pPr>
      <w:bookmarkStart w:id="3" w:name="_Toc2732"/>
      <w:r>
        <w:rPr>
          <w:rFonts w:ascii="Times New Roman" w:hAnsi="Times New Roman" w:eastAsia="方正小标宋简体" w:cs="Times New Roman"/>
          <w:b w:val="0"/>
          <w:kern w:val="2"/>
          <w:sz w:val="36"/>
          <w:szCs w:val="36"/>
        </w:rPr>
        <w:t>第一章  发展基础和发展环境</w:t>
      </w:r>
      <w:bookmarkEnd w:id="3"/>
    </w:p>
    <w:p w14:paraId="742A5A29">
      <w:pPr>
        <w:pStyle w:val="4"/>
        <w:keepLines w:val="0"/>
        <w:adjustRightInd w:val="0"/>
        <w:snapToGrid w:val="0"/>
        <w:spacing w:before="156" w:after="156" w:line="600" w:lineRule="exact"/>
        <w:jc w:val="center"/>
        <w:rPr>
          <w:rFonts w:eastAsia="黑体" w:cs="Times New Roman"/>
          <w:b w:val="0"/>
          <w:szCs w:val="32"/>
        </w:rPr>
      </w:pPr>
      <w:bookmarkStart w:id="4" w:name="_Toc5363"/>
      <w:r>
        <w:rPr>
          <w:rFonts w:eastAsia="黑体" w:cs="Times New Roman"/>
          <w:b w:val="0"/>
          <w:szCs w:val="32"/>
        </w:rPr>
        <w:t>第一节  发展基础</w:t>
      </w:r>
      <w:bookmarkEnd w:id="4"/>
    </w:p>
    <w:p w14:paraId="6F620476">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十三五”期间，海滨街工委、办事处坚持以习近平新时代中国特色社会主义思想为指导，深入学习贯彻落实党的十九大和十九届二中、三中、四中、五中全会精神，全面落实习近平总书记对天津工作“三个着力”重要要求和视察天津及滨海新区重要指示精神，在区委、区政府的正确领导下，始终坚持新发展理念，把握高质量发展要求，坚持稳中求进的工作总基调，团结带领全街人民实现“十三五”经济社会事业全面发展。</w:t>
      </w:r>
    </w:p>
    <w:p w14:paraId="12AD6450">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sz w:val="32"/>
          <w:szCs w:val="32"/>
        </w:rPr>
        <w:t>经济综合实力稳步提升。</w:t>
      </w:r>
      <w:r>
        <w:rPr>
          <w:rFonts w:ascii="Times New Roman" w:hAnsi="Times New Roman" w:eastAsia="仿宋_GB2312" w:cs="Times New Roman"/>
          <w:color w:val="000000"/>
          <w:sz w:val="32"/>
          <w:szCs w:val="24"/>
        </w:rPr>
        <w:t>经济发展动力持续增强，“十三五”时期，规模以上工业总产值累计达到183.36亿元，累计完成固定资产投资94.43亿元；2020年，限上批发零售业企业营业额实现33.74亿元，社会消费品零售总额实现10.69亿元。产业发展体系逐步完善，辖区内有各类企事业单位2363家，个体工商户5581家，已经形成了以装备制造、石油石化、清洁能源等为主导的工业发展体系，打造出以油品批发、大型商超为主导的商业发展体系以及为大港油田生产配套相关的技术服务业体系。企业高质量发展稳步推进，出台《海滨街关于扶持现代前沿产业发展的暂行办法》《海滨街关于支持企业上市融资加快发展的支持办法》等举措，引导企业经营向高端化发展，企业规模不断扩大，产业升级引领作用逐步显现；加大力度查处高耗能、落后工艺企业，加快淘汰落后产能，实现辖区企业绿色高效发展。新动能不断集聚，港西工业园区已成为承接关键项目的重要载体，有序开展高新技术企业认定工作，现有高新技术企业52家，29家企业完成国家科技型中小企业认定。营商环境持续优化，扎实开展“双万双服促发展”活动，顺利完成新增企业平台录入、信息确认以及全部登录工作，协助企业解决生产经营中的土地、资金、用气等问题，完成农村产权制度改革并顺利通过了农业部验收。</w:t>
      </w:r>
    </w:p>
    <w:p w14:paraId="2311E889">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sz w:val="32"/>
          <w:szCs w:val="32"/>
        </w:rPr>
        <w:t>社会民生事业全面进步。</w:t>
      </w:r>
      <w:r>
        <w:rPr>
          <w:rFonts w:ascii="Times New Roman" w:hAnsi="Times New Roman" w:eastAsia="仿宋_GB2312" w:cs="Times New Roman"/>
          <w:color w:val="000000"/>
          <w:sz w:val="32"/>
          <w:szCs w:val="24"/>
        </w:rPr>
        <w:t>居民生活保障力度持续增强，积极谋划应对辖区老龄化问题，建设日间照料中心、老年日间照料站等老年日间照料场所共计19个，积极推进日间照料站向照料中心的升级工作；全面开展安心助老认证工作，通过手机客户端完成认证，实现智能化管理；鑫泰小区建成中心幼儿园，实现义务教育均衡发展；切实做好兜底保障工作，不断拓展城乡养老和医疗保险覆盖范围，持续完善社会救助体系建设，发放各类社会救助金、慰问金，积极开展关爱残疾人活动，开展各类帮扶救助培训项目。就业保障体系不断完善，积极做好就业与再就业帮扶工作，联合泰德人才搭建完成“互联网+就业+企业+人才”的互联网交互平台、大港南城区就业服务中心、海河人才就业服务中心，积极举办线上招聘会；完成退役军人服务站组建工作，完成下岗失业退役军人推荐公益岗位再就业工作。各类民心工程有序推进，居民生活基础设施逐步完善，建设完成港西新城街心公园项目和庆丰公园等项目；完成华隆、新盛等多个社区维修工程和农村危房改造工程；开通优化公共交通线路，提升辖区内居民出行便利化水平；推进冬季清洁取暖、农村饮水提质增效以及水表出户等工程。街区文化建设切实强化，积极建立综合文化服务站，完善街区公共文化体系，每年安排各级各类文艺演出近百场。</w:t>
      </w:r>
    </w:p>
    <w:p w14:paraId="1020570C">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sz w:val="32"/>
          <w:szCs w:val="32"/>
        </w:rPr>
        <w:t>辖区治理能力显著增强。</w:t>
      </w:r>
      <w:r>
        <w:rPr>
          <w:rFonts w:ascii="Times New Roman" w:hAnsi="Times New Roman" w:eastAsia="仿宋_GB2312" w:cs="Times New Roman"/>
          <w:color w:val="000000"/>
          <w:sz w:val="32"/>
          <w:szCs w:val="24"/>
        </w:rPr>
        <w:t>精细化、智慧化社区治理全面展开，不断完善社区治理工作，现有39个社区全部实现了网格化管理；北苑小区试点建设“雪亮工程”，实现社区无形智能卡口全天候安全管理；农村地区全面开展“平安智慧社区”建设工作。创文创卫工作取得突出成效，全面落实全国文明城区建设各项要求，积极开展未成年人思想道德建设，政府、企业、居民等五方联动协同推进文明建设工作；联合油田公司，开展对太沙路、幸福路、滨海公园等12条重点交通道路、27个老旧小区周边以及重点区域进行全方位市容环境整治工作；出台《农村环境卫生保洁制度》，推动农村地区卫生治理，提升村容村貌。社会环境实现安全稳定，全面开展“平安街道”建设工作，对治安环境中突出问题展开重点整治，深入进行扫黑除恶专项斗争，坚决打击传销等违法行为和邪教组织，维护国家安全；践行“枫桥经验”，成就“海滨模式”，做到“小事不出村居，大事不出街道”；制定《海滨街2020年平安建设工作要点》，积极推进社会矛盾纠纷调处化解中心建设，持续加大对各类社会矛盾纠纷和不稳定因素的排查化解力度。严格落实“党政同责、一岗双责”责任制，推进安全生产工作制度化、常态化管理，聘请专业机构对辖区化工、商贸企业以及人员密集场所进行安全检查和隐患排查，实现全方位提升。</w:t>
      </w:r>
    </w:p>
    <w:p w14:paraId="23EC3558">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sz w:val="32"/>
          <w:szCs w:val="32"/>
        </w:rPr>
        <w:t>生态环境建设持续推进。</w:t>
      </w:r>
      <w:r>
        <w:rPr>
          <w:rFonts w:ascii="Times New Roman" w:hAnsi="Times New Roman" w:eastAsia="仿宋_GB2312" w:cs="Times New Roman"/>
          <w:color w:val="000000"/>
          <w:sz w:val="32"/>
          <w:szCs w:val="24"/>
        </w:rPr>
        <w:t>生态环境质量总体向好，截至2020年12月，海滨街在滨海新区30个街镇空气质量排名中位居榜首，空气质量持续提升；截至12月底，海滨街五条河流均已达到五类水质，未出现土壤污染环境事件。生态防治工作稳步开展，不断完善水、大气、土壤污染防治工作，加快推进“南四河”消劣工作，开展二批次河湖范围内“乱占、乱采、乱堆、乱建”专项整治工作，共解决23个突出问题，实现“清四乱”工作的常态化与规范化，持续加大对河道巡查力度；积极落实退耕还湿工作。“散乱污”治理成效显著，全面开展“散乱污”企业整治，52家企业被关停取缔，49家企业实现原地升级改造；对辖区内工业企业堆场扬尘实施严格管控，全部采取封闭或密目网苫盖措施；对临街露天烧烤进行取缔；积极推进农村煤改燃及并网工作。垃圾分类实现社区全覆盖，城市社区垃圾分类工作快速推进，在全区垃圾分类工作排名中名列前茅；截至12月，海滨街已打造出31个垃圾分类社区（含3个精品社区），全部实现分类投放、分类收集、分类运输等环节正常运营；持续做好垃圾分类知识宣传活动，调动社区居民参与积极性，提高居民垃圾分类的知晓率和正确投放率。</w:t>
      </w:r>
    </w:p>
    <w:p w14:paraId="1B640422">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“十三五”时期，海滨街经济社会发展取得了来之不易的成就，为建设社会主义现代化先行示范街奠定了坚实基础。</w:t>
      </w:r>
    </w:p>
    <w:p w14:paraId="182D767C">
      <w:pPr>
        <w:pStyle w:val="4"/>
        <w:keepLines w:val="0"/>
        <w:adjustRightInd w:val="0"/>
        <w:snapToGrid w:val="0"/>
        <w:spacing w:before="156" w:after="156" w:line="600" w:lineRule="exact"/>
        <w:jc w:val="center"/>
        <w:rPr>
          <w:rFonts w:eastAsia="黑体" w:cs="Times New Roman"/>
          <w:b w:val="0"/>
          <w:szCs w:val="32"/>
        </w:rPr>
      </w:pPr>
      <w:bookmarkStart w:id="5" w:name="_Toc1034"/>
      <w:r>
        <w:rPr>
          <w:rFonts w:eastAsia="黑体" w:cs="Times New Roman"/>
          <w:b w:val="0"/>
          <w:szCs w:val="32"/>
        </w:rPr>
        <w:t>第二节  发展环境</w:t>
      </w:r>
      <w:bookmarkEnd w:id="5"/>
    </w:p>
    <w:p w14:paraId="4211548F">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十四五”时期是海滨街实现经济社会事业全方位高质量发展的关键时期，是推动经济升级调整、产业结构迈向高端、社会治理能力大幅提升以及民生事业阔步发展的重要阶段，科学谋划、提前布局，顺应新的时代趋势和潮流，在“十四五”时期推动街区发展跃升新台阶。</w:t>
      </w:r>
    </w:p>
    <w:p w14:paraId="57C78490">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sz w:val="32"/>
          <w:szCs w:val="32"/>
        </w:rPr>
        <w:t>从宏观发展的综合环境来看，</w:t>
      </w:r>
      <w:r>
        <w:rPr>
          <w:rFonts w:ascii="Times New Roman" w:hAnsi="Times New Roman" w:eastAsia="仿宋_GB2312" w:cs="Times New Roman"/>
          <w:color w:val="000000"/>
          <w:sz w:val="32"/>
          <w:szCs w:val="24"/>
        </w:rPr>
        <w:t>当前和今后一个时期，我国仍然处于重要的战略发展期，面临全新的机遇和挑战。当今世界正经历百年未有之大变局，国际环境日趋复杂，不确定性明显增加，经济全球化遭遇逆流，新一轮科技革命和产业变革蓄势待发。“十三五”中后期以来，我国已转向高质量发展阶段，经济长期向好，发展韧性强劲，社会大局稳定，但发展中的不平衡不充分问题依然存在。这就要求在“十四五”期间，要牢固树立起底线思维，及时妥善科学应变，做到趋利避害。</w:t>
      </w:r>
    </w:p>
    <w:p w14:paraId="0265C3EC">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sz w:val="32"/>
          <w:szCs w:val="32"/>
        </w:rPr>
        <w:t>从地区发展的总体环境来看，</w:t>
      </w:r>
      <w:r>
        <w:rPr>
          <w:rFonts w:ascii="Times New Roman" w:hAnsi="Times New Roman" w:eastAsia="仿宋_GB2312" w:cs="Times New Roman"/>
          <w:color w:val="000000"/>
          <w:sz w:val="32"/>
          <w:szCs w:val="24"/>
        </w:rPr>
        <w:t>天津正处于负重前行、爬坡过坎、滚石上山的紧要关头，已基本度过了转型升级的“阵痛期”，发展调整中的不利因素逐步消除，特别是“十四五”时期构建以国内大循环为主体、国内国际双循环相互促进的新发展格局为天津将带来难得的历史性机遇。天津在“十四五”规划建议中提出构筑“津城”“滨城”双城格局，由“区”升级为“城”将为滨海新区带来前所未有的发展机遇。滨海新区多年发展积累了雄厚基础，开发区、保税区、高新区等功能区优势突出，先行先试效应明显，承载力和吸引力不断提升。但是，当前滨海新区仍处于“双城”协同发展建设的起步阶段，港产城融合不足，社会事业发展存在短板，新动能底盘依然偏小，产业转型升级的步伐需要加快，生态保护任重道远，这些都将成为新区在“十四五”时期加速“滨城”建设需要着力突破的难点，同时，也是海滨街积极融入新时期“滨城”建设的重中之重。</w:t>
      </w:r>
    </w:p>
    <w:p w14:paraId="143CB556">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sz w:val="32"/>
          <w:szCs w:val="32"/>
        </w:rPr>
        <w:t>从京津冀协同发展环境来看，</w:t>
      </w:r>
      <w:r>
        <w:rPr>
          <w:rFonts w:ascii="Times New Roman" w:hAnsi="Times New Roman" w:eastAsia="仿宋_GB2312" w:cs="Times New Roman"/>
          <w:color w:val="000000"/>
          <w:sz w:val="32"/>
          <w:szCs w:val="24"/>
        </w:rPr>
        <w:t>近年来京津冀区域发展有了大幅度提升，从区域创新质量、协调发展、绿色发展、开放合作以及共享发展等方面取得显著成效。“十四五”时期，天津将主动服务雄安新区建设，对接京津冀世界级城市群建设，优化空间布局和城镇体系，增强城市承载力和服务辐射功能。同时，滨海新区也提出要加快建设京津冀便捷“出海口”、打造配套完善“产业区”以及宜居宜游“后花园”。海滨街地处滨海新区与河北省黄骅市重要连接节点，应充分利用好这一区位环境优势，强化海滨街服务京津冀建设功能，同时，借助京津冀“后花园”这一先机，加快完善旅游配套设施，培育旅游观光农业，打造特色旅游景点。</w:t>
      </w:r>
    </w:p>
    <w:p w14:paraId="5BB17D7B">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sz w:val="32"/>
          <w:szCs w:val="32"/>
        </w:rPr>
        <w:t>从创新创造环境来看，</w:t>
      </w:r>
      <w:r>
        <w:rPr>
          <w:rFonts w:ascii="Times New Roman" w:hAnsi="Times New Roman" w:eastAsia="仿宋_GB2312" w:cs="Times New Roman"/>
          <w:color w:val="000000"/>
          <w:sz w:val="32"/>
          <w:szCs w:val="24"/>
        </w:rPr>
        <w:t>天津在“十四五”时期坚持创新引领，着力提升自主创新和原始创新能力，打造自主创新的重要源头和原始创新的主要策源地。滨海新区在“十四五”规划建议中明确提出要把科技自立自强作为区域发展的战略支撑，坚持以政为引、以用为立、以转为要、以企为主、以人为本，优化创新生态，培育创新主体，汇聚创新人才。总的来看，“十四五”期间全市和滨海新区将会营造出十分浓厚的创新创造氛围，这将十分有利于海滨街增强创新创造能力。同时，海滨街辖区内企业创新主体作用偏弱，创新人才数量不足，这些对海滨街实现创新驱动发展构成了一定的挑战，但这也意味着发展潜力和政策空间依然广阔。</w:t>
      </w:r>
    </w:p>
    <w:p w14:paraId="78289CF6">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sz w:val="32"/>
          <w:szCs w:val="32"/>
        </w:rPr>
        <w:t>从产业转型升级环境来看，</w:t>
      </w:r>
      <w:r>
        <w:rPr>
          <w:rFonts w:ascii="Times New Roman" w:hAnsi="Times New Roman" w:eastAsia="仿宋_GB2312" w:cs="Times New Roman"/>
          <w:color w:val="000000"/>
          <w:sz w:val="32"/>
          <w:szCs w:val="24"/>
        </w:rPr>
        <w:t>天津在“十四五”期间坚持“制造业立市”的发展思路，全面增强全国先进制造研发基地核心竞争力，加快构建“1+3+4”现代工业产业体系，提升产业链供应链现代化水平以及现代服务业发展能级。滨海新区更进一步提出要落实全市“一基地三区”核心区功能，发展壮大以智能科技产业为引领、先进制造业为核心、高端服务业为支撑的现代产业体系，打造主题园区，大力发展新经济。总的来看，海滨街未来产业转型升级面临的外部环境十分有利，但是产业升级面临的压力也十分巨大。石油石化是天津现代化工业体系的重要组成，而海滨街地处大港油田腹地，发展石油石化工业具有天然优势，当务之急是要把握产业发展大势，推动石化配套产业向价值链高端发展，借力紧邻南港工业园的区位优势促进现代服务业发展。围绕新区打造绿色化工主题园区，不断优化辖区营商环境，推动港西工业园、物流仓储园等的建设发展。</w:t>
      </w:r>
    </w:p>
    <w:p w14:paraId="0ACE075B">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sz w:val="32"/>
          <w:szCs w:val="32"/>
        </w:rPr>
        <w:t>从现代化社会治理和城市建设环境来看，</w:t>
      </w:r>
      <w:r>
        <w:rPr>
          <w:rFonts w:ascii="Times New Roman" w:hAnsi="Times New Roman" w:eastAsia="仿宋_GB2312" w:cs="Times New Roman"/>
          <w:color w:val="000000"/>
          <w:sz w:val="32"/>
          <w:szCs w:val="24"/>
        </w:rPr>
        <w:t>立足天津之“特”、天津之“责”，天津在“十四五”时期将全面推进社会治理体系和治理能力现代化，防范化解各类重大风险，加强和创新基层社会治理，推动绿色发展，不断增强城市文化软实力，提高人民群众生活品质。从滨海新区来看，新区将深度落实“津城”“滨城”双城发展布局，坚持港产城融合发展，打造城乡融合发展特色区和特色鲜明的文化强区，健全完善现代化公共服务体系，打造高品质生活的幸福城市。海滨街应充分抓住美丽滨海新城建设的历史机遇，提升辖区道路设施、交通出行、医疗卫生、教育文化等公共资源的承载能力，加快现代化新农村建设，同时，推动街区治理能力实现现代化和智能化。</w:t>
      </w:r>
    </w:p>
    <w:p w14:paraId="34D4C461">
      <w:pPr>
        <w:pStyle w:val="4"/>
        <w:keepLines w:val="0"/>
        <w:adjustRightInd w:val="0"/>
        <w:snapToGrid w:val="0"/>
        <w:spacing w:before="156" w:after="156" w:line="600" w:lineRule="exact"/>
        <w:jc w:val="center"/>
        <w:rPr>
          <w:rFonts w:eastAsia="黑体" w:cs="Times New Roman"/>
          <w:b w:val="0"/>
          <w:szCs w:val="32"/>
        </w:rPr>
      </w:pPr>
      <w:bookmarkStart w:id="6" w:name="_Toc27691"/>
      <w:r>
        <w:rPr>
          <w:rFonts w:eastAsia="黑体" w:cs="Times New Roman"/>
          <w:b w:val="0"/>
          <w:szCs w:val="32"/>
        </w:rPr>
        <w:t>第三节  二〇三五年远景目标</w:t>
      </w:r>
      <w:bookmarkEnd w:id="6"/>
    </w:p>
    <w:p w14:paraId="3A107CD2">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按照区委三届十二次全会确定的基本建成社会主义现代化建设先行区的远景目标要求，到二</w:t>
      </w:r>
      <w:r>
        <w:rPr>
          <w:rFonts w:ascii="Times New Roman" w:hAnsi="Times New Roman" w:eastAsia="微软雅黑" w:cs="Times New Roman"/>
          <w:color w:val="000000"/>
          <w:sz w:val="32"/>
          <w:szCs w:val="24"/>
        </w:rPr>
        <w:t>〇</w:t>
      </w:r>
      <w:r>
        <w:rPr>
          <w:rFonts w:ascii="Times New Roman" w:hAnsi="Times New Roman" w:eastAsia="仿宋_GB2312" w:cs="Times New Roman"/>
          <w:color w:val="000000"/>
          <w:sz w:val="32"/>
          <w:szCs w:val="24"/>
        </w:rPr>
        <w:t>三五年，海滨街基本建成经济发展繁荣、社会安定团结、生态环境优美，具有独特魅力、城乡融合、宜居宜业、人民幸福的社会主义现代化先行示范街。打造大港油田和南港工业区产业服务基地，经济综合实力大幅提升，以石油化工、装备制造、清洁能源等优势工业为核心、以现代物流、现代商贸和生态休闲农业等现代服务业为支撑的高质量产业发展体系建设完成；打造现代化城市治理示范街区，实施“三线一网”社区治理行动，推动智慧社区建设，健全安全责任体系和优化保障机制，实现辖区共建共治共享；打造滨海新区南部生态宜居油田新城区，坚持生态优先，倡导绿色生活方式，完善基本公共服务，促进城乡融合发展，构建人与自然和谐共生的高品质宜居城区。</w:t>
      </w:r>
    </w:p>
    <w:p w14:paraId="5FD8322D">
      <w:pPr>
        <w:pStyle w:val="5"/>
        <w:rPr>
          <w:rFonts w:ascii="Times New Roman" w:hAnsi="Times New Roman" w:cs="Times New Roman"/>
        </w:rPr>
      </w:pPr>
    </w:p>
    <w:p w14:paraId="0600B499">
      <w:pPr>
        <w:ind w:firstLine="640" w:firstLineChars="200"/>
        <w:rPr>
          <w:rFonts w:ascii="Times New Roman" w:hAnsi="Times New Roman" w:eastAsia="仿宋" w:cs="Times New Roman"/>
          <w:sz w:val="32"/>
          <w:szCs w:val="32"/>
        </w:rPr>
        <w:sectPr>
          <w:footerReference r:id="rId5" w:type="default"/>
          <w:pgSz w:w="11906" w:h="16838"/>
          <w:pgMar w:top="1440" w:right="1576" w:bottom="1440" w:left="1576" w:header="851" w:footer="992" w:gutter="0"/>
          <w:cols w:space="425" w:num="1"/>
          <w:docGrid w:type="lines" w:linePitch="312" w:charSpace="0"/>
        </w:sectPr>
      </w:pPr>
    </w:p>
    <w:p w14:paraId="471F16AD">
      <w:pPr>
        <w:pStyle w:val="3"/>
        <w:keepNext w:val="0"/>
        <w:keepLines w:val="0"/>
        <w:pageBreakBefore/>
        <w:adjustRightInd w:val="0"/>
        <w:snapToGrid/>
        <w:spacing w:beforeLines="0" w:afterLines="0"/>
        <w:rPr>
          <w:rFonts w:ascii="Times New Roman" w:hAnsi="Times New Roman" w:eastAsia="方正小标宋简体" w:cs="Times New Roman"/>
          <w:b w:val="0"/>
          <w:kern w:val="2"/>
          <w:sz w:val="36"/>
          <w:szCs w:val="36"/>
        </w:rPr>
      </w:pPr>
      <w:bookmarkStart w:id="7" w:name="_Toc13831"/>
      <w:r>
        <w:rPr>
          <w:rFonts w:ascii="Times New Roman" w:hAnsi="Times New Roman" w:eastAsia="方正小标宋简体" w:cs="Times New Roman"/>
          <w:b w:val="0"/>
          <w:kern w:val="2"/>
          <w:sz w:val="36"/>
          <w:szCs w:val="36"/>
        </w:rPr>
        <w:t>第二章  总体要求与奋斗目标</w:t>
      </w:r>
      <w:bookmarkEnd w:id="7"/>
    </w:p>
    <w:p w14:paraId="6AFD166A">
      <w:pPr>
        <w:pStyle w:val="4"/>
        <w:keepLines w:val="0"/>
        <w:adjustRightInd w:val="0"/>
        <w:snapToGrid w:val="0"/>
        <w:spacing w:before="156" w:after="156" w:line="600" w:lineRule="exact"/>
        <w:jc w:val="center"/>
        <w:rPr>
          <w:rFonts w:eastAsia="黑体" w:cs="Times New Roman"/>
          <w:b w:val="0"/>
          <w:szCs w:val="32"/>
        </w:rPr>
      </w:pPr>
      <w:bookmarkStart w:id="8" w:name="_Toc10856"/>
      <w:r>
        <w:rPr>
          <w:rFonts w:eastAsia="黑体" w:cs="Times New Roman"/>
          <w:b w:val="0"/>
          <w:szCs w:val="32"/>
        </w:rPr>
        <w:t>第一节  指导思想</w:t>
      </w:r>
      <w:bookmarkEnd w:id="8"/>
    </w:p>
    <w:p w14:paraId="137641F8">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以习近平新时代中国特色社会主义思想为指导，全面贯彻党的十九大和十九届二中、三中、四中、五中全会精神，统筹推进“五位一体”总体布局，协调推进“四个全面”战略布局，深入落实习近平总书记对天津工作提出的“三个着力”重要要求和一系列重要指示批示精神，增强“四个意识”、坚定“四个自信”、做到“两个维护”，按照市委和区委部署要求，坚定不移贯彻新发展理念，坚持稳中求进工作总基调，发挥地企共建优势，以推进高质量发展为主题，以抓安全、保稳定、促发展、惠民生为主线，以改革创新为根本动力，以满足人民日益增长的美好生活需要为根本目的，开拓进取，奋发有为，保持经济社会持续健康发展，努力建设社会主义现代化先行示范街，使海滨街各项事业走在新区街镇前列，助力生态、智慧、港产城融合的宜居宜业美丽滨海新城建设。</w:t>
      </w:r>
    </w:p>
    <w:p w14:paraId="742C6A31">
      <w:pPr>
        <w:pStyle w:val="4"/>
        <w:keepLines w:val="0"/>
        <w:adjustRightInd w:val="0"/>
        <w:snapToGrid w:val="0"/>
        <w:spacing w:before="156" w:after="156" w:line="600" w:lineRule="exact"/>
        <w:jc w:val="center"/>
        <w:rPr>
          <w:rFonts w:eastAsia="黑体" w:cs="Times New Roman"/>
          <w:b w:val="0"/>
          <w:szCs w:val="32"/>
        </w:rPr>
      </w:pPr>
      <w:bookmarkStart w:id="9" w:name="_Toc3416"/>
      <w:r>
        <w:rPr>
          <w:rFonts w:eastAsia="黑体" w:cs="Times New Roman"/>
          <w:b w:val="0"/>
          <w:szCs w:val="32"/>
        </w:rPr>
        <w:t>第二节  基本原则</w:t>
      </w:r>
      <w:bookmarkEnd w:id="9"/>
    </w:p>
    <w:p w14:paraId="56E7DE6A">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color w:val="000000"/>
          <w:sz w:val="32"/>
          <w:szCs w:val="32"/>
        </w:rPr>
        <w:t>坚持党的全面领导。</w:t>
      </w:r>
      <w:r>
        <w:rPr>
          <w:rFonts w:ascii="Times New Roman" w:hAnsi="Times New Roman" w:eastAsia="仿宋_GB2312" w:cs="Times New Roman"/>
          <w:color w:val="000000"/>
          <w:sz w:val="32"/>
          <w:szCs w:val="24"/>
        </w:rPr>
        <w:t>坚持和完善党领导经济社会发展的体制机制，不断提高贯彻新发展理念、构建新发展格局的能力和水平，确保党始终总揽全局、协调各方，为实现高质量发展提供根本保证。</w:t>
      </w:r>
    </w:p>
    <w:p w14:paraId="62436E65">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color w:val="000000"/>
          <w:sz w:val="32"/>
          <w:szCs w:val="32"/>
        </w:rPr>
        <w:t>坚持以人民为中心。</w:t>
      </w:r>
      <w:r>
        <w:rPr>
          <w:rFonts w:ascii="Times New Roman" w:hAnsi="Times New Roman" w:eastAsia="仿宋_GB2312" w:cs="Times New Roman"/>
          <w:color w:val="000000"/>
          <w:sz w:val="32"/>
          <w:szCs w:val="24"/>
        </w:rPr>
        <w:t>坚持人民至上，坚持共同富裕，把增进人民福祉、促进人的全面发展作为出发点和落脚点，维护社会公平正义，保障人民平等参与、平等发展权利，让全街人民有更多获得感、幸福感、安全感。</w:t>
      </w:r>
    </w:p>
    <w:p w14:paraId="4A9A4134">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color w:val="000000"/>
          <w:sz w:val="32"/>
          <w:szCs w:val="32"/>
        </w:rPr>
        <w:t>坚持新发展理念。</w:t>
      </w:r>
      <w:r>
        <w:rPr>
          <w:rFonts w:ascii="Times New Roman" w:hAnsi="Times New Roman" w:eastAsia="仿宋_GB2312" w:cs="Times New Roman"/>
          <w:color w:val="000000"/>
          <w:sz w:val="32"/>
          <w:szCs w:val="24"/>
        </w:rPr>
        <w:t>把新发展理念贯穿发展全过程和各领域，用新发展理念指导解决新发展格局中的突出问题，推动质量变革、效率变革、动力变革，实现更高质量、更有效率、更加公平、更可持续、更为安全的发展。</w:t>
      </w:r>
    </w:p>
    <w:p w14:paraId="67FBC68A">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color w:val="000000"/>
          <w:sz w:val="32"/>
          <w:szCs w:val="32"/>
        </w:rPr>
        <w:t>坚持深化改革创新。</w:t>
      </w:r>
      <w:r>
        <w:rPr>
          <w:rFonts w:ascii="Times New Roman" w:hAnsi="Times New Roman" w:eastAsia="仿宋_GB2312" w:cs="Times New Roman"/>
          <w:color w:val="000000"/>
          <w:sz w:val="32"/>
          <w:szCs w:val="24"/>
        </w:rPr>
        <w:t>坚持“闯”字当头、“干”字当先、“创”字为要，保持创新的闯劲、敢为天下先的胆识、深化体制机制创新的锐气，使改革创新成为推动全街高质量发展的强大动力和不竭源泉，全力推进资源型城市高质量转型，促进街企融合发展。</w:t>
      </w:r>
    </w:p>
    <w:p w14:paraId="18A7F09C">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楷体_GB2312" w:cs="Times New Roman"/>
          <w:color w:val="000000"/>
          <w:sz w:val="32"/>
          <w:szCs w:val="32"/>
        </w:rPr>
        <w:t>坚持总体安全。</w:t>
      </w:r>
      <w:r>
        <w:rPr>
          <w:rFonts w:ascii="Times New Roman" w:hAnsi="Times New Roman" w:eastAsia="仿宋_GB2312" w:cs="Times New Roman"/>
          <w:color w:val="000000"/>
          <w:sz w:val="32"/>
          <w:szCs w:val="24"/>
        </w:rPr>
        <w:t>街镇是公共安全的第一道防线，要牢固树立安全发展理念，把握好安全和发展“两个轮子一起转”的大方向，提升本质安全水平，全面提高防范风险和应急处置能力，打造有利于街道经济社会发展的和谐环境。</w:t>
      </w:r>
    </w:p>
    <w:p w14:paraId="67543E22">
      <w:pPr>
        <w:pStyle w:val="4"/>
        <w:keepLines w:val="0"/>
        <w:adjustRightInd w:val="0"/>
        <w:snapToGrid w:val="0"/>
        <w:spacing w:beforeLines="0" w:after="156" w:line="600" w:lineRule="exact"/>
        <w:jc w:val="center"/>
        <w:rPr>
          <w:rFonts w:eastAsia="黑体" w:cs="Times New Roman"/>
          <w:b w:val="0"/>
          <w:szCs w:val="32"/>
        </w:rPr>
      </w:pPr>
      <w:bookmarkStart w:id="10" w:name="_Toc17025"/>
      <w:r>
        <w:rPr>
          <w:rFonts w:eastAsia="黑体" w:cs="Times New Roman"/>
          <w:b w:val="0"/>
          <w:szCs w:val="32"/>
        </w:rPr>
        <w:t>第三节  主要目标</w:t>
      </w:r>
      <w:bookmarkEnd w:id="10"/>
    </w:p>
    <w:p w14:paraId="704D5982">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着眼于二</w:t>
      </w:r>
      <w:r>
        <w:rPr>
          <w:rFonts w:ascii="Times New Roman" w:hAnsi="Times New Roman" w:eastAsia="微软雅黑" w:cs="Times New Roman"/>
          <w:color w:val="000000"/>
          <w:sz w:val="32"/>
          <w:szCs w:val="24"/>
        </w:rPr>
        <w:t>〇</w:t>
      </w:r>
      <w:r>
        <w:rPr>
          <w:rFonts w:ascii="Times New Roman" w:hAnsi="Times New Roman" w:eastAsia="仿宋_GB2312" w:cs="Times New Roman"/>
          <w:color w:val="000000"/>
          <w:sz w:val="32"/>
          <w:szCs w:val="24"/>
        </w:rPr>
        <w:t>三五年基本建成社会主义现代化先行示范街的远景目标，综合考虑海滨街发展的机遇、优势与条件，坚持守正创新，今后五年经济社会发展努力实现以下目标。</w:t>
      </w:r>
    </w:p>
    <w:p w14:paraId="1B61027D">
      <w:pPr>
        <w:adjustRightInd w:val="0"/>
        <w:snapToGrid w:val="0"/>
        <w:spacing w:line="600" w:lineRule="exact"/>
        <w:ind w:firstLine="643" w:firstLineChars="200"/>
        <w:rPr>
          <w:rFonts w:ascii="Times New Roman" w:hAnsi="Times New Roman" w:eastAsia="仿宋_GB2312" w:cs="Times New Roman"/>
          <w:color w:val="000000"/>
          <w:sz w:val="32"/>
          <w:szCs w:val="24"/>
        </w:rPr>
      </w:pPr>
      <w:r>
        <w:rPr>
          <w:rFonts w:ascii="Times New Roman" w:hAnsi="Times New Roman" w:eastAsia="仿宋_GB2312" w:cs="Times New Roman"/>
          <w:b/>
          <w:color w:val="000000"/>
          <w:sz w:val="32"/>
          <w:szCs w:val="32"/>
        </w:rPr>
        <w:t>“一轴多片区”发展格局初步形成。</w:t>
      </w:r>
      <w:r>
        <w:rPr>
          <w:rFonts w:ascii="Times New Roman" w:hAnsi="Times New Roman" w:eastAsia="仿宋_GB2312" w:cs="Times New Roman"/>
          <w:color w:val="000000"/>
          <w:sz w:val="32"/>
          <w:szCs w:val="24"/>
        </w:rPr>
        <w:t>东西向油田城区农、城、产联动全面发展</w:t>
      </w:r>
      <w:r>
        <w:rPr>
          <w:rFonts w:hint="eastAsia" w:ascii="Times New Roman" w:hAnsi="Times New Roman" w:eastAsia="仿宋_GB2312" w:cs="Times New Roman"/>
          <w:color w:val="000000"/>
          <w:sz w:val="32"/>
          <w:szCs w:val="24"/>
        </w:rPr>
        <w:t>。</w:t>
      </w:r>
      <w:r>
        <w:rPr>
          <w:rFonts w:ascii="Times New Roman" w:hAnsi="Times New Roman" w:eastAsia="仿宋_GB2312" w:cs="Times New Roman"/>
          <w:color w:val="000000"/>
          <w:sz w:val="32"/>
          <w:szCs w:val="24"/>
        </w:rPr>
        <w:t>综合发展城区、产业发展片区、农业观光片区、现代农业片区、生态涵养片区形成互动提升、协同推进的局面。</w:t>
      </w:r>
    </w:p>
    <w:p w14:paraId="3010C271">
      <w:pPr>
        <w:adjustRightInd w:val="0"/>
        <w:snapToGrid w:val="0"/>
        <w:spacing w:line="600" w:lineRule="exact"/>
        <w:ind w:firstLine="643" w:firstLineChars="200"/>
        <w:rPr>
          <w:rFonts w:ascii="Times New Roman" w:hAnsi="Times New Roman" w:eastAsia="仿宋_GB2312" w:cs="Times New Roman"/>
          <w:color w:val="000000"/>
          <w:sz w:val="32"/>
          <w:szCs w:val="24"/>
        </w:rPr>
      </w:pPr>
      <w:r>
        <w:rPr>
          <w:rFonts w:ascii="Times New Roman" w:hAnsi="Times New Roman" w:eastAsia="仿宋_GB2312" w:cs="Times New Roman"/>
          <w:b/>
          <w:color w:val="000000"/>
          <w:sz w:val="32"/>
          <w:szCs w:val="32"/>
        </w:rPr>
        <w:t>经济效益持续提升。</w:t>
      </w:r>
      <w:r>
        <w:rPr>
          <w:rFonts w:ascii="Times New Roman" w:hAnsi="Times New Roman" w:eastAsia="仿宋_GB2312" w:cs="Times New Roman"/>
          <w:color w:val="000000"/>
          <w:sz w:val="32"/>
          <w:szCs w:val="24"/>
        </w:rPr>
        <w:t>新发展理念得到全面贯彻，现代服务业智能化高端化特征更加明显，在质量效益明显提升的基础上实现全街经济持续健康发展。</w:t>
      </w:r>
    </w:p>
    <w:p w14:paraId="5D9FEF0D">
      <w:pPr>
        <w:adjustRightInd w:val="0"/>
        <w:snapToGrid w:val="0"/>
        <w:spacing w:line="600" w:lineRule="exact"/>
        <w:ind w:firstLine="643" w:firstLineChars="200"/>
        <w:rPr>
          <w:rFonts w:ascii="Times New Roman" w:hAnsi="Times New Roman" w:eastAsia="仿宋_GB2312" w:cs="Times New Roman"/>
          <w:color w:val="000000"/>
          <w:sz w:val="32"/>
          <w:szCs w:val="24"/>
        </w:rPr>
      </w:pPr>
      <w:r>
        <w:rPr>
          <w:rFonts w:ascii="Times New Roman" w:hAnsi="Times New Roman" w:eastAsia="仿宋_GB2312" w:cs="Times New Roman"/>
          <w:b/>
          <w:color w:val="000000"/>
          <w:sz w:val="32"/>
          <w:szCs w:val="32"/>
        </w:rPr>
        <w:t>社会文明稳步提高。</w:t>
      </w:r>
      <w:r>
        <w:rPr>
          <w:rFonts w:ascii="Times New Roman" w:hAnsi="Times New Roman" w:eastAsia="仿宋_GB2312" w:cs="Times New Roman"/>
          <w:color w:val="000000"/>
          <w:sz w:val="32"/>
          <w:szCs w:val="24"/>
        </w:rPr>
        <w:t>社会主义核心价值观深入人心，公共文化服务体系更加健全，精神文化生活更加丰富，文化软实力进一步增强，市民思想道德素质、科学文化素质、身心健康素质全面提升，向上向善、重信守诺的社会风尚更加浓厚。</w:t>
      </w:r>
    </w:p>
    <w:p w14:paraId="120852E0">
      <w:pPr>
        <w:adjustRightInd w:val="0"/>
        <w:snapToGrid w:val="0"/>
        <w:spacing w:line="600" w:lineRule="exact"/>
        <w:ind w:firstLine="643" w:firstLineChars="200"/>
        <w:rPr>
          <w:rFonts w:ascii="Times New Roman" w:hAnsi="Times New Roman" w:eastAsia="仿宋_GB2312" w:cs="Times New Roman"/>
          <w:color w:val="000000"/>
          <w:sz w:val="32"/>
          <w:szCs w:val="24"/>
        </w:rPr>
      </w:pPr>
      <w:r>
        <w:rPr>
          <w:rFonts w:ascii="Times New Roman" w:hAnsi="Times New Roman" w:eastAsia="仿宋_GB2312" w:cs="Times New Roman"/>
          <w:b/>
          <w:color w:val="000000"/>
          <w:sz w:val="32"/>
          <w:szCs w:val="32"/>
        </w:rPr>
        <w:t>城区品质逐步优化。</w:t>
      </w:r>
      <w:r>
        <w:rPr>
          <w:rFonts w:ascii="Times New Roman" w:hAnsi="Times New Roman" w:eastAsia="仿宋_GB2312" w:cs="Times New Roman"/>
          <w:color w:val="000000"/>
          <w:sz w:val="32"/>
          <w:szCs w:val="24"/>
        </w:rPr>
        <w:t>城区功能布局更加合理，基础设施不断完善，生产生活方式绿色转型成效显著，生态环境质量明显改善，城区环境宜居宜业。</w:t>
      </w:r>
    </w:p>
    <w:p w14:paraId="5C5D4EBF">
      <w:pPr>
        <w:adjustRightInd w:val="0"/>
        <w:snapToGrid w:val="0"/>
        <w:spacing w:line="600" w:lineRule="exact"/>
        <w:ind w:firstLine="643" w:firstLineChars="200"/>
        <w:rPr>
          <w:rFonts w:ascii="Times New Roman" w:hAnsi="Times New Roman" w:eastAsia="仿宋_GB2312" w:cs="Times New Roman"/>
          <w:color w:val="000000"/>
          <w:sz w:val="32"/>
          <w:szCs w:val="24"/>
        </w:rPr>
      </w:pPr>
      <w:r>
        <w:rPr>
          <w:rFonts w:ascii="Times New Roman" w:hAnsi="Times New Roman" w:eastAsia="仿宋_GB2312" w:cs="Times New Roman"/>
          <w:b/>
          <w:color w:val="000000"/>
          <w:sz w:val="32"/>
          <w:szCs w:val="32"/>
        </w:rPr>
        <w:t>民生福祉显著增强。</w:t>
      </w:r>
      <w:r>
        <w:rPr>
          <w:rFonts w:ascii="Times New Roman" w:hAnsi="Times New Roman" w:eastAsia="仿宋_GB2312" w:cs="Times New Roman"/>
          <w:color w:val="000000"/>
          <w:sz w:val="32"/>
          <w:szCs w:val="24"/>
        </w:rPr>
        <w:t>优质公共服务供给不断均衡普惠，教育、卫生、文化短板全面补齐，社会保障能力持续增强，居民收入和经济增长基本同步，人民群众获得感幸福感安全感进一步增强。</w:t>
      </w:r>
    </w:p>
    <w:p w14:paraId="63727ADE">
      <w:pPr>
        <w:adjustRightInd w:val="0"/>
        <w:snapToGrid w:val="0"/>
        <w:spacing w:line="600" w:lineRule="exact"/>
        <w:ind w:firstLine="643" w:firstLineChars="200"/>
        <w:rPr>
          <w:rFonts w:ascii="Times New Roman" w:hAnsi="Times New Roman" w:eastAsia="仿宋_GB2312" w:cs="Times New Roman"/>
          <w:color w:val="000000"/>
          <w:sz w:val="32"/>
          <w:szCs w:val="24"/>
        </w:rPr>
      </w:pPr>
      <w:r>
        <w:rPr>
          <w:rFonts w:ascii="Times New Roman" w:hAnsi="Times New Roman" w:eastAsia="仿宋_GB2312" w:cs="Times New Roman"/>
          <w:b/>
          <w:color w:val="000000"/>
          <w:sz w:val="32"/>
          <w:szCs w:val="32"/>
        </w:rPr>
        <w:t>乡村振兴扎实推进。</w:t>
      </w:r>
      <w:r>
        <w:rPr>
          <w:rFonts w:ascii="Times New Roman" w:hAnsi="Times New Roman" w:eastAsia="仿宋_GB2312" w:cs="Times New Roman"/>
          <w:color w:val="000000"/>
          <w:sz w:val="32"/>
          <w:szCs w:val="24"/>
        </w:rPr>
        <w:t>大力实施乡村振兴战略，持续推动农业农村高质量发展，传统农业项目提质增效、优势农业项目提档升级、新兴农业项目发展壮大，努力打造农业强、农村美、农民富的“三农”新格局。</w:t>
      </w:r>
    </w:p>
    <w:p w14:paraId="7B168F48">
      <w:pPr>
        <w:adjustRightInd w:val="0"/>
        <w:snapToGrid w:val="0"/>
        <w:spacing w:line="600" w:lineRule="exact"/>
        <w:ind w:firstLine="643" w:firstLineChars="200"/>
        <w:rPr>
          <w:rFonts w:ascii="Times New Roman" w:hAnsi="Times New Roman" w:eastAsia="仿宋_GB2312" w:cs="Times New Roman"/>
          <w:color w:val="000000"/>
          <w:sz w:val="32"/>
          <w:szCs w:val="24"/>
        </w:rPr>
      </w:pPr>
      <w:r>
        <w:rPr>
          <w:rFonts w:ascii="Times New Roman" w:hAnsi="Times New Roman" w:eastAsia="仿宋_GB2312" w:cs="Times New Roman"/>
          <w:b/>
          <w:color w:val="000000"/>
          <w:sz w:val="32"/>
          <w:szCs w:val="32"/>
        </w:rPr>
        <w:t>治理效能不断增强。</w:t>
      </w:r>
      <w:r>
        <w:rPr>
          <w:rFonts w:ascii="Times New Roman" w:hAnsi="Times New Roman" w:eastAsia="仿宋_GB2312" w:cs="Times New Roman"/>
          <w:color w:val="000000"/>
          <w:sz w:val="32"/>
          <w:szCs w:val="24"/>
        </w:rPr>
        <w:t>共同缔造理念深入人心，依法治理能力和治理体系明显提高，突发公共事件应急能力显著增强，社会治理水平和发展安全保障更加有力，与社会主义现代化先行示范街地位相适应的社会治理体系更加完善，“平安海滨”取得明显成效。</w:t>
      </w:r>
    </w:p>
    <w:p w14:paraId="4600783F">
      <w:pPr>
        <w:adjustRightInd w:val="0"/>
        <w:snapToGrid w:val="0"/>
        <w:jc w:val="center"/>
        <w:rPr>
          <w:rFonts w:ascii="Times New Roman" w:hAnsi="Times New Roman" w:eastAsia="仿宋_GB2312" w:cs="Times New Roman"/>
          <w:b/>
          <w:sz w:val="28"/>
          <w:szCs w:val="28"/>
        </w:rPr>
      </w:pPr>
    </w:p>
    <w:p w14:paraId="7D60434D">
      <w:pPr>
        <w:adjustRightInd w:val="0"/>
        <w:snapToGrid w:val="0"/>
        <w:jc w:val="center"/>
        <w:rPr>
          <w:rFonts w:ascii="Times New Roman" w:hAnsi="Times New Roman" w:eastAsia="方正小标宋简体" w:cs="Times New Roman"/>
          <w:bCs/>
          <w:color w:val="000000" w:themeColor="text1"/>
          <w:sz w:val="28"/>
          <w:szCs w:val="28"/>
        </w:rPr>
      </w:pPr>
      <w:r>
        <w:rPr>
          <w:rFonts w:ascii="Times New Roman" w:hAnsi="Times New Roman" w:eastAsia="仿宋_GB2312" w:cs="Times New Roman"/>
          <w:b/>
          <w:sz w:val="28"/>
          <w:szCs w:val="28"/>
        </w:rPr>
        <w:t xml:space="preserve">专栏1  </w:t>
      </w:r>
      <w:r>
        <w:rPr>
          <w:rFonts w:ascii="Times New Roman" w:hAnsi="Times New Roman" w:eastAsia="方正小标宋简体" w:cs="Times New Roman"/>
          <w:bCs/>
          <w:color w:val="000000" w:themeColor="text1"/>
          <w:sz w:val="28"/>
          <w:szCs w:val="28"/>
        </w:rPr>
        <w:t>“十四五”时期经济社会发展主要指标</w:t>
      </w:r>
    </w:p>
    <w:tbl>
      <w:tblPr>
        <w:tblStyle w:val="15"/>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4800"/>
        <w:gridCol w:w="1189"/>
        <w:gridCol w:w="1122"/>
        <w:gridCol w:w="1311"/>
      </w:tblGrid>
      <w:tr w14:paraId="6694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53" w:type="dxa"/>
            <w:vAlign w:val="center"/>
          </w:tcPr>
          <w:p w14:paraId="72645C0B">
            <w:pPr>
              <w:jc w:val="center"/>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序号</w:t>
            </w:r>
          </w:p>
        </w:tc>
        <w:tc>
          <w:tcPr>
            <w:tcW w:w="4800" w:type="dxa"/>
            <w:vAlign w:val="center"/>
          </w:tcPr>
          <w:p w14:paraId="05A1739C">
            <w:pPr>
              <w:jc w:val="center"/>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指标名称</w:t>
            </w:r>
          </w:p>
        </w:tc>
        <w:tc>
          <w:tcPr>
            <w:tcW w:w="1189" w:type="dxa"/>
            <w:vAlign w:val="center"/>
          </w:tcPr>
          <w:p w14:paraId="619D26F3">
            <w:pPr>
              <w:jc w:val="center"/>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2020年</w:t>
            </w:r>
          </w:p>
        </w:tc>
        <w:tc>
          <w:tcPr>
            <w:tcW w:w="1122" w:type="dxa"/>
            <w:vAlign w:val="center"/>
          </w:tcPr>
          <w:p w14:paraId="6F7352E3">
            <w:pPr>
              <w:jc w:val="center"/>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2025年</w:t>
            </w:r>
          </w:p>
        </w:tc>
        <w:tc>
          <w:tcPr>
            <w:tcW w:w="1311" w:type="dxa"/>
            <w:vAlign w:val="center"/>
          </w:tcPr>
          <w:p w14:paraId="7C36B125">
            <w:pPr>
              <w:jc w:val="center"/>
              <w:rPr>
                <w:rFonts w:ascii="Times New Roman" w:hAnsi="Times New Roman" w:eastAsia="仿宋_GB2312" w:cs="Times New Roman"/>
                <w:b/>
                <w:color w:val="000000" w:themeColor="text1"/>
                <w:sz w:val="28"/>
                <w:szCs w:val="28"/>
              </w:rPr>
            </w:pPr>
            <w:r>
              <w:rPr>
                <w:rFonts w:ascii="Times New Roman" w:hAnsi="Times New Roman" w:eastAsia="仿宋_GB2312" w:cs="Times New Roman"/>
                <w:b/>
                <w:color w:val="000000" w:themeColor="text1"/>
                <w:sz w:val="28"/>
                <w:szCs w:val="28"/>
              </w:rPr>
              <w:t>属性</w:t>
            </w:r>
          </w:p>
        </w:tc>
      </w:tr>
      <w:tr w14:paraId="6256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53" w:type="dxa"/>
            <w:vAlign w:val="center"/>
          </w:tcPr>
          <w:p w14:paraId="21ECE7AD">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w:t>
            </w:r>
          </w:p>
        </w:tc>
        <w:tc>
          <w:tcPr>
            <w:tcW w:w="4800" w:type="dxa"/>
            <w:vAlign w:val="center"/>
          </w:tcPr>
          <w:p w14:paraId="5EE383DD">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工业总产值（亿元）</w:t>
            </w:r>
          </w:p>
        </w:tc>
        <w:tc>
          <w:tcPr>
            <w:tcW w:w="1189" w:type="dxa"/>
            <w:vAlign w:val="center"/>
          </w:tcPr>
          <w:p w14:paraId="06CABE76">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30.02</w:t>
            </w:r>
          </w:p>
        </w:tc>
        <w:tc>
          <w:tcPr>
            <w:tcW w:w="1122" w:type="dxa"/>
            <w:vAlign w:val="center"/>
          </w:tcPr>
          <w:p w14:paraId="57E2EF8E">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39.4</w:t>
            </w:r>
          </w:p>
        </w:tc>
        <w:tc>
          <w:tcPr>
            <w:tcW w:w="1311" w:type="dxa"/>
            <w:vAlign w:val="center"/>
          </w:tcPr>
          <w:p w14:paraId="1F8ABF40">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预期性</w:t>
            </w:r>
          </w:p>
        </w:tc>
      </w:tr>
      <w:tr w14:paraId="66B1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53" w:type="dxa"/>
            <w:vAlign w:val="center"/>
          </w:tcPr>
          <w:p w14:paraId="5F2B1B46">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2</w:t>
            </w:r>
          </w:p>
        </w:tc>
        <w:tc>
          <w:tcPr>
            <w:tcW w:w="4800" w:type="dxa"/>
            <w:vAlign w:val="center"/>
          </w:tcPr>
          <w:p w14:paraId="3FC9E8D9">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社会消费品零售总额（亿元）</w:t>
            </w:r>
          </w:p>
        </w:tc>
        <w:tc>
          <w:tcPr>
            <w:tcW w:w="1189" w:type="dxa"/>
            <w:vAlign w:val="center"/>
          </w:tcPr>
          <w:p w14:paraId="334970DF">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10.69</w:t>
            </w:r>
          </w:p>
        </w:tc>
        <w:tc>
          <w:tcPr>
            <w:tcW w:w="1122" w:type="dxa"/>
            <w:vAlign w:val="center"/>
          </w:tcPr>
          <w:p w14:paraId="7B9B0189">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11.8</w:t>
            </w:r>
          </w:p>
        </w:tc>
        <w:tc>
          <w:tcPr>
            <w:tcW w:w="1311" w:type="dxa"/>
            <w:vAlign w:val="center"/>
          </w:tcPr>
          <w:p w14:paraId="76C23BBF">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预期性</w:t>
            </w:r>
          </w:p>
        </w:tc>
      </w:tr>
      <w:tr w14:paraId="2D57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53" w:type="dxa"/>
            <w:vAlign w:val="center"/>
          </w:tcPr>
          <w:p w14:paraId="200F1EA5">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w:t>
            </w:r>
          </w:p>
        </w:tc>
        <w:tc>
          <w:tcPr>
            <w:tcW w:w="4800" w:type="dxa"/>
            <w:vAlign w:val="center"/>
          </w:tcPr>
          <w:p w14:paraId="6DBBA2EE">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规上工业企业数量（个）</w:t>
            </w:r>
          </w:p>
        </w:tc>
        <w:tc>
          <w:tcPr>
            <w:tcW w:w="1189" w:type="dxa"/>
            <w:vAlign w:val="center"/>
          </w:tcPr>
          <w:p w14:paraId="66E3C50A">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25</w:t>
            </w:r>
          </w:p>
        </w:tc>
        <w:tc>
          <w:tcPr>
            <w:tcW w:w="1122" w:type="dxa"/>
            <w:vAlign w:val="center"/>
          </w:tcPr>
          <w:p w14:paraId="411EACC3">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32</w:t>
            </w:r>
          </w:p>
        </w:tc>
        <w:tc>
          <w:tcPr>
            <w:tcW w:w="1311" w:type="dxa"/>
            <w:vAlign w:val="center"/>
          </w:tcPr>
          <w:p w14:paraId="41C208A5">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预期性</w:t>
            </w:r>
          </w:p>
        </w:tc>
      </w:tr>
      <w:tr w14:paraId="60FC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53" w:type="dxa"/>
            <w:vAlign w:val="center"/>
          </w:tcPr>
          <w:p w14:paraId="021E4C42">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4</w:t>
            </w:r>
          </w:p>
        </w:tc>
        <w:tc>
          <w:tcPr>
            <w:tcW w:w="4800" w:type="dxa"/>
            <w:vAlign w:val="center"/>
          </w:tcPr>
          <w:p w14:paraId="26695A14">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市场主体数量（万）</w:t>
            </w:r>
          </w:p>
        </w:tc>
        <w:tc>
          <w:tcPr>
            <w:tcW w:w="1189" w:type="dxa"/>
            <w:vAlign w:val="center"/>
          </w:tcPr>
          <w:p w14:paraId="30D7F894">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0.65</w:t>
            </w:r>
          </w:p>
        </w:tc>
        <w:tc>
          <w:tcPr>
            <w:tcW w:w="1122" w:type="dxa"/>
            <w:vAlign w:val="center"/>
          </w:tcPr>
          <w:p w14:paraId="1E7539C4">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0.75</w:t>
            </w:r>
          </w:p>
        </w:tc>
        <w:tc>
          <w:tcPr>
            <w:tcW w:w="1311" w:type="dxa"/>
            <w:vAlign w:val="center"/>
          </w:tcPr>
          <w:p w14:paraId="363AA70B">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预期性</w:t>
            </w:r>
          </w:p>
        </w:tc>
      </w:tr>
      <w:tr w14:paraId="216F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53" w:type="dxa"/>
            <w:vAlign w:val="center"/>
          </w:tcPr>
          <w:p w14:paraId="0801CA61">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5</w:t>
            </w:r>
          </w:p>
        </w:tc>
        <w:tc>
          <w:tcPr>
            <w:tcW w:w="4800" w:type="dxa"/>
            <w:vAlign w:val="center"/>
          </w:tcPr>
          <w:p w14:paraId="79EE9B97">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商品销售总额（亿元）</w:t>
            </w:r>
          </w:p>
        </w:tc>
        <w:tc>
          <w:tcPr>
            <w:tcW w:w="1189" w:type="dxa"/>
            <w:vAlign w:val="center"/>
          </w:tcPr>
          <w:p w14:paraId="679B2747">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33.74</w:t>
            </w:r>
          </w:p>
        </w:tc>
        <w:tc>
          <w:tcPr>
            <w:tcW w:w="1122" w:type="dxa"/>
            <w:vAlign w:val="center"/>
          </w:tcPr>
          <w:p w14:paraId="263F8229">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49.6</w:t>
            </w:r>
          </w:p>
        </w:tc>
        <w:tc>
          <w:tcPr>
            <w:tcW w:w="1311" w:type="dxa"/>
            <w:vAlign w:val="center"/>
          </w:tcPr>
          <w:p w14:paraId="34D65CD9">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预期性</w:t>
            </w:r>
          </w:p>
        </w:tc>
      </w:tr>
      <w:tr w14:paraId="588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53" w:type="dxa"/>
            <w:vAlign w:val="center"/>
          </w:tcPr>
          <w:p w14:paraId="53BA1709">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6</w:t>
            </w:r>
          </w:p>
        </w:tc>
        <w:tc>
          <w:tcPr>
            <w:tcW w:w="4800" w:type="dxa"/>
            <w:vAlign w:val="center"/>
          </w:tcPr>
          <w:p w14:paraId="1B08F57D">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累计固定资产投资总额（亿元）</w:t>
            </w:r>
          </w:p>
        </w:tc>
        <w:tc>
          <w:tcPr>
            <w:tcW w:w="1189" w:type="dxa"/>
            <w:vAlign w:val="center"/>
          </w:tcPr>
          <w:p w14:paraId="0975D649">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4.47</w:t>
            </w:r>
          </w:p>
        </w:tc>
        <w:tc>
          <w:tcPr>
            <w:tcW w:w="1122" w:type="dxa"/>
            <w:vAlign w:val="center"/>
          </w:tcPr>
          <w:p w14:paraId="660F1FBA">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50</w:t>
            </w:r>
          </w:p>
        </w:tc>
        <w:tc>
          <w:tcPr>
            <w:tcW w:w="1311" w:type="dxa"/>
            <w:vAlign w:val="center"/>
          </w:tcPr>
          <w:p w14:paraId="292AD278">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预期性</w:t>
            </w:r>
          </w:p>
        </w:tc>
      </w:tr>
      <w:tr w14:paraId="2CC7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53" w:type="dxa"/>
            <w:vAlign w:val="center"/>
          </w:tcPr>
          <w:p w14:paraId="26B8A71D">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7</w:t>
            </w:r>
          </w:p>
        </w:tc>
        <w:tc>
          <w:tcPr>
            <w:tcW w:w="4800" w:type="dxa"/>
            <w:vAlign w:val="center"/>
          </w:tcPr>
          <w:p w14:paraId="3D4AAD2B">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实际利用内资（亿元）</w:t>
            </w:r>
          </w:p>
        </w:tc>
        <w:tc>
          <w:tcPr>
            <w:tcW w:w="1189" w:type="dxa"/>
            <w:vAlign w:val="center"/>
          </w:tcPr>
          <w:p w14:paraId="7008B31E">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1.68</w:t>
            </w:r>
          </w:p>
        </w:tc>
        <w:tc>
          <w:tcPr>
            <w:tcW w:w="1122" w:type="dxa"/>
            <w:vAlign w:val="center"/>
          </w:tcPr>
          <w:p w14:paraId="6D5F8271">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3</w:t>
            </w:r>
          </w:p>
        </w:tc>
        <w:tc>
          <w:tcPr>
            <w:tcW w:w="1311" w:type="dxa"/>
            <w:vAlign w:val="center"/>
          </w:tcPr>
          <w:p w14:paraId="01BB5A54">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预期性</w:t>
            </w:r>
          </w:p>
        </w:tc>
      </w:tr>
      <w:tr w14:paraId="00F1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53" w:type="dxa"/>
            <w:vAlign w:val="center"/>
          </w:tcPr>
          <w:p w14:paraId="343C117D">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8</w:t>
            </w:r>
          </w:p>
        </w:tc>
        <w:tc>
          <w:tcPr>
            <w:tcW w:w="4800" w:type="dxa"/>
            <w:vAlign w:val="center"/>
          </w:tcPr>
          <w:p w14:paraId="68C46D73">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新增就业人口（人）</w:t>
            </w:r>
          </w:p>
        </w:tc>
        <w:tc>
          <w:tcPr>
            <w:tcW w:w="1189" w:type="dxa"/>
            <w:vAlign w:val="center"/>
          </w:tcPr>
          <w:p w14:paraId="2EDDF716">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2030</w:t>
            </w:r>
          </w:p>
        </w:tc>
        <w:tc>
          <w:tcPr>
            <w:tcW w:w="1122" w:type="dxa"/>
            <w:vAlign w:val="center"/>
          </w:tcPr>
          <w:p w14:paraId="16CBE85C">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2400</w:t>
            </w:r>
          </w:p>
        </w:tc>
        <w:tc>
          <w:tcPr>
            <w:tcW w:w="1311" w:type="dxa"/>
            <w:vAlign w:val="center"/>
          </w:tcPr>
          <w:p w14:paraId="692CB70F">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预期性</w:t>
            </w:r>
          </w:p>
        </w:tc>
      </w:tr>
      <w:tr w14:paraId="258F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853" w:type="dxa"/>
            <w:vAlign w:val="center"/>
          </w:tcPr>
          <w:p w14:paraId="6E2DFB8B">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9</w:t>
            </w:r>
          </w:p>
        </w:tc>
        <w:tc>
          <w:tcPr>
            <w:tcW w:w="4800" w:type="dxa"/>
            <w:vAlign w:val="center"/>
          </w:tcPr>
          <w:p w14:paraId="36F4F037">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粮食综合生产能力（</w:t>
            </w:r>
            <w:r>
              <w:rPr>
                <w:rFonts w:ascii="Times New Roman" w:hAnsi="Times New Roman" w:eastAsia="仿宋_GB2312" w:cs="Times New Roman"/>
                <w:sz w:val="28"/>
                <w:szCs w:val="28"/>
              </w:rPr>
              <w:t>万</w:t>
            </w:r>
            <w:r>
              <w:rPr>
                <w:rFonts w:ascii="Times New Roman" w:hAnsi="Times New Roman" w:eastAsia="仿宋_GB2312" w:cs="Times New Roman"/>
                <w:color w:val="000000" w:themeColor="text1"/>
                <w:sz w:val="28"/>
                <w:szCs w:val="28"/>
              </w:rPr>
              <w:t>吨）</w:t>
            </w:r>
          </w:p>
        </w:tc>
        <w:tc>
          <w:tcPr>
            <w:tcW w:w="1189" w:type="dxa"/>
            <w:vAlign w:val="center"/>
          </w:tcPr>
          <w:p w14:paraId="7401A153">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0.51</w:t>
            </w:r>
          </w:p>
        </w:tc>
        <w:tc>
          <w:tcPr>
            <w:tcW w:w="1122" w:type="dxa"/>
            <w:vAlign w:val="center"/>
          </w:tcPr>
          <w:p w14:paraId="52B2E540">
            <w:pPr>
              <w:jc w:val="center"/>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0.65</w:t>
            </w:r>
          </w:p>
        </w:tc>
        <w:tc>
          <w:tcPr>
            <w:tcW w:w="1311" w:type="dxa"/>
            <w:vAlign w:val="center"/>
          </w:tcPr>
          <w:p w14:paraId="68CA381A">
            <w:pPr>
              <w:jc w:val="center"/>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预期性</w:t>
            </w:r>
          </w:p>
        </w:tc>
      </w:tr>
    </w:tbl>
    <w:p w14:paraId="07AD84A7">
      <w:pPr>
        <w:pStyle w:val="2"/>
        <w:rPr>
          <w:rFonts w:ascii="Times New Roman" w:hAnsi="Times New Roman" w:cs="Times New Roman"/>
        </w:rPr>
      </w:pPr>
    </w:p>
    <w:p w14:paraId="6BE28098">
      <w:pPr>
        <w:pStyle w:val="2"/>
        <w:rPr>
          <w:rFonts w:ascii="Times New Roman" w:hAnsi="Times New Roman" w:cs="Times New Roman"/>
        </w:rPr>
      </w:pPr>
    </w:p>
    <w:p w14:paraId="77EAB198">
      <w:pPr>
        <w:pStyle w:val="2"/>
        <w:rPr>
          <w:rFonts w:ascii="Times New Roman" w:hAnsi="Times New Roman" w:cs="Times New Roman"/>
        </w:rPr>
      </w:pPr>
    </w:p>
    <w:p w14:paraId="48757880">
      <w:pPr>
        <w:rPr>
          <w:rFonts w:ascii="Times New Roman" w:hAnsi="Times New Roman" w:cs="Times New Roman"/>
        </w:rPr>
      </w:pPr>
    </w:p>
    <w:p w14:paraId="3ACA6AEF">
      <w:pPr>
        <w:ind w:firstLine="640" w:firstLineChars="200"/>
        <w:rPr>
          <w:rFonts w:ascii="Times New Roman" w:hAnsi="Times New Roman" w:eastAsia="仿宋_GB2312" w:cs="Times New Roman"/>
          <w:sz w:val="32"/>
          <w:szCs w:val="32"/>
        </w:rPr>
        <w:sectPr>
          <w:pgSz w:w="11906" w:h="16838"/>
          <w:pgMar w:top="1440" w:right="1576" w:bottom="1440" w:left="1576" w:header="851" w:footer="992" w:gutter="0"/>
          <w:cols w:space="425" w:num="1"/>
          <w:docGrid w:type="lines" w:linePitch="312" w:charSpace="0"/>
        </w:sectPr>
      </w:pPr>
    </w:p>
    <w:p w14:paraId="777A158B">
      <w:pPr>
        <w:pStyle w:val="3"/>
        <w:keepNext w:val="0"/>
        <w:keepLines w:val="0"/>
        <w:pageBreakBefore/>
        <w:adjustRightInd w:val="0"/>
        <w:snapToGrid/>
        <w:spacing w:beforeLines="0" w:afterLines="0"/>
        <w:rPr>
          <w:rFonts w:ascii="Times New Roman" w:hAnsi="Times New Roman" w:eastAsia="方正小标宋简体" w:cs="Times New Roman"/>
          <w:b w:val="0"/>
          <w:kern w:val="2"/>
          <w:sz w:val="36"/>
          <w:szCs w:val="36"/>
        </w:rPr>
      </w:pPr>
      <w:bookmarkStart w:id="11" w:name="_Toc28295"/>
      <w:r>
        <w:rPr>
          <w:rFonts w:ascii="Times New Roman" w:hAnsi="Times New Roman" w:eastAsia="方正小标宋简体" w:cs="Times New Roman"/>
          <w:b w:val="0"/>
          <w:kern w:val="2"/>
          <w:sz w:val="36"/>
          <w:szCs w:val="36"/>
        </w:rPr>
        <w:t>第三章  推动空间协同发展  规划建设先行示范街</w:t>
      </w:r>
      <w:bookmarkEnd w:id="11"/>
    </w:p>
    <w:p w14:paraId="7A3584D6">
      <w:pPr>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紧跟“滨城”发展脚步，按照组团式发展思路，精心设计城区功能布局，构建生态环绕的“一轴多片”的空间总体格局，实现街镇整体空间结构优化升级，推进海滨街与周边区域协同发展。</w:t>
      </w:r>
    </w:p>
    <w:p w14:paraId="2893688C">
      <w:pPr>
        <w:pStyle w:val="4"/>
        <w:keepLines w:val="0"/>
        <w:adjustRightInd w:val="0"/>
        <w:snapToGrid w:val="0"/>
        <w:spacing w:before="156" w:after="156" w:line="600" w:lineRule="exact"/>
        <w:jc w:val="center"/>
        <w:rPr>
          <w:rFonts w:eastAsia="黑体" w:cs="Times New Roman"/>
          <w:b w:val="0"/>
          <w:szCs w:val="32"/>
        </w:rPr>
      </w:pPr>
      <w:bookmarkStart w:id="12" w:name="_Toc6052"/>
      <w:r>
        <w:rPr>
          <w:rFonts w:eastAsia="黑体" w:cs="Times New Roman"/>
          <w:b w:val="0"/>
          <w:szCs w:val="32"/>
        </w:rPr>
        <w:t>第一节  坚持高点规划</w:t>
      </w:r>
      <w:bookmarkEnd w:id="12"/>
    </w:p>
    <w:p w14:paraId="7ED383CA">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提升规划理念，强化顶层设计。突出前瞻性、先导性和全局性，发挥“滨城”南大门、京津冀协同重要节点、石油基地与南港工业区大后方的区位优势，以世界眼光、国际标准、高点规划具有海滨特色的街镇格局，重点打造“一轴多片”的空间架构，促进产业与空间的有机融合发展，努力建设宜居宜业的社会主义现代化先行示范街。</w:t>
      </w:r>
    </w:p>
    <w:p w14:paraId="0E4FA092">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坚持生态优先和底线思维。立足产城融合和职住平衡，实施战略留白、留绿、留璞，优化街区开发边界，避免无序扩张，科学统筹生产、生活、生态空间，实现一张蓝图统全街、一张蓝图绘到底。注重管理联动，严保耕地空间、优化存量空间、谋划发展空间、协同融合空间，推动街镇发展由外延扩张向内涵提升转变。</w:t>
      </w:r>
    </w:p>
    <w:p w14:paraId="449ACFE7">
      <w:pPr>
        <w:pStyle w:val="4"/>
        <w:keepLines w:val="0"/>
        <w:adjustRightInd w:val="0"/>
        <w:snapToGrid w:val="0"/>
        <w:spacing w:before="156" w:after="156" w:line="600" w:lineRule="exact"/>
        <w:jc w:val="center"/>
        <w:rPr>
          <w:rFonts w:eastAsia="黑体" w:cs="Times New Roman"/>
          <w:b w:val="0"/>
          <w:szCs w:val="32"/>
        </w:rPr>
      </w:pPr>
      <w:bookmarkStart w:id="13" w:name="_Toc9647"/>
      <w:r>
        <w:rPr>
          <w:rFonts w:eastAsia="黑体" w:cs="Times New Roman"/>
          <w:b w:val="0"/>
          <w:szCs w:val="32"/>
        </w:rPr>
        <w:t>第二节  优化街镇空间结构</w:t>
      </w:r>
      <w:bookmarkEnd w:id="13"/>
    </w:p>
    <w:p w14:paraId="11906E3F">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一轴：以街镇核心区为主，形成农、城、产联动发展的东西向油田城区发展轴。东向以大港油田、大港石化、渤海钻探、渤海装备等石化企业为龙头，引领工业经济实现快速发展；发挥比邻南港工业园区位优势，加快现代产业服务基地建设。西向以发展现代农业和休闲观光农业为重点，以农业经济增长带动乡村振兴，实现城乡融合发展。中间区域为油田主城区，以居民生活、现代商业商贸、交通枢纽、绿地休闲等城市功能为主，不断提升城区生活品质和服务能级。</w:t>
      </w:r>
    </w:p>
    <w:p w14:paraId="05C96005">
      <w:pPr>
        <w:adjustRightInd w:val="0"/>
        <w:snapToGrid w:val="0"/>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color w:val="000000"/>
          <w:sz w:val="32"/>
          <w:szCs w:val="24"/>
        </w:rPr>
        <w:t>多片：东部为产业发展片区，西部为农业观光片区和现代农业片区，中部为综合发展城区，南北为生态涵养片区，东部、西部和中部片区实现“一轴”农、城、产联动的功能拓展和动力支撑。东部产业发展片区以石油产业为核心，逐步形成石油化工、装备制造、清洁能源以及新型材料四大产业为主的现代工业体系。西部农业观光片区打造观光、采摘与民宿为一体的休闲农业区；现代农业片区着力发展种养一体、循环绿色、规模化特色畜牧业，打造全产业链畜牧养殖集聚区。中部综合发展城区以幸福广场和港西新城为依托，重点发展科技服务业、商贸服务业等现代生产性服务业以及生活性服务业，谋划布局高铁经济，促进房地产业发展。南北生态涵养区依托北大港水库、沙井子水库及湿地资源，有效利用周边公共区域，打造绿地休闲与健身活动场所，倡导居民绿色生活方式，推动生态宜居城市建设。</w:t>
      </w:r>
    </w:p>
    <w:p w14:paraId="7107E2E7">
      <w:pPr>
        <w:jc w:val="center"/>
        <w:rPr>
          <w:rFonts w:ascii="Times New Roman" w:hAnsi="Times New Roman" w:eastAsia="仿宋" w:cs="Times New Roman"/>
          <w:color w:val="000000" w:themeColor="text1"/>
          <w:sz w:val="32"/>
          <w:szCs w:val="32"/>
        </w:rPr>
      </w:pPr>
    </w:p>
    <w:p w14:paraId="5B317EE6">
      <w:pPr>
        <w:jc w:val="center"/>
        <w:rPr>
          <w:rFonts w:ascii="Times New Roman" w:hAnsi="Times New Roman" w:eastAsia="仿宋" w:cs="Times New Roman"/>
          <w:color w:val="000000" w:themeColor="text1"/>
          <w:sz w:val="32"/>
          <w:szCs w:val="32"/>
        </w:rPr>
      </w:pPr>
    </w:p>
    <w:p w14:paraId="03194349">
      <w:pPr>
        <w:jc w:val="center"/>
        <w:rPr>
          <w:rFonts w:ascii="Times New Roman" w:hAnsi="Times New Roman" w:eastAsia="仿宋" w:cs="Times New Roman"/>
          <w:color w:val="000000" w:themeColor="text1"/>
          <w:sz w:val="32"/>
          <w:szCs w:val="32"/>
        </w:rPr>
      </w:pPr>
    </w:p>
    <w:p w14:paraId="5F491CA5">
      <w:pPr>
        <w:jc w:val="center"/>
        <w:rPr>
          <w:rFonts w:ascii="Times New Roman" w:hAnsi="Times New Roman" w:eastAsia="仿宋" w:cs="Times New Roman"/>
          <w:color w:val="000000" w:themeColor="text1"/>
          <w:sz w:val="32"/>
          <w:szCs w:val="32"/>
        </w:rPr>
      </w:pPr>
    </w:p>
    <w:p w14:paraId="6127E3C9">
      <w:pPr>
        <w:jc w:val="center"/>
        <w:rPr>
          <w:rFonts w:ascii="Times New Roman" w:hAnsi="Times New Roman" w:eastAsia="仿宋" w:cs="Times New Roman"/>
          <w:color w:val="000000" w:themeColor="text1"/>
          <w:sz w:val="32"/>
          <w:szCs w:val="32"/>
        </w:rPr>
      </w:pPr>
      <w:r>
        <w:drawing>
          <wp:inline distT="0" distB="0" distL="114300" distR="114300">
            <wp:extent cx="3408045" cy="2870200"/>
            <wp:effectExtent l="0" t="0" r="1905" b="6350"/>
            <wp:docPr id="4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
                    <pic:cNvPicPr>
                      <a:picLocks noChangeAspect="1"/>
                    </pic:cNvPicPr>
                  </pic:nvPicPr>
                  <pic:blipFill>
                    <a:blip r:embed="rId7" cstate="print"/>
                    <a:stretch>
                      <a:fillRect/>
                    </a:stretch>
                  </pic:blipFill>
                  <pic:spPr>
                    <a:xfrm>
                      <a:off x="0" y="0"/>
                      <a:ext cx="3408045" cy="2870200"/>
                    </a:xfrm>
                    <a:prstGeom prst="rect">
                      <a:avLst/>
                    </a:prstGeom>
                    <a:noFill/>
                    <a:ln w="9525">
                      <a:noFill/>
                    </a:ln>
                  </pic:spPr>
                </pic:pic>
              </a:graphicData>
            </a:graphic>
          </wp:inline>
        </w:drawing>
      </w:r>
    </w:p>
    <w:p w14:paraId="0A59AA44">
      <w:pPr>
        <w:jc w:val="center"/>
        <w:rPr>
          <w:rFonts w:ascii="Times New Roman" w:hAnsi="Times New Roman" w:eastAsia="仿宋" w:cs="Times New Roman"/>
          <w:b/>
          <w:bCs/>
          <w:color w:val="000000" w:themeColor="text1"/>
          <w:sz w:val="28"/>
          <w:szCs w:val="28"/>
        </w:rPr>
      </w:pPr>
      <w:r>
        <w:rPr>
          <w:rFonts w:ascii="Times New Roman" w:hAnsi="Times New Roman" w:eastAsia="仿宋" w:cs="Times New Roman"/>
          <w:b/>
          <w:bCs/>
          <w:color w:val="000000" w:themeColor="text1"/>
          <w:sz w:val="28"/>
          <w:szCs w:val="28"/>
        </w:rPr>
        <w:t>海滨街“十四五”空间规划示意图</w:t>
      </w:r>
    </w:p>
    <w:p w14:paraId="5441CE5C">
      <w:pPr>
        <w:ind w:firstLine="640" w:firstLineChars="200"/>
        <w:rPr>
          <w:rFonts w:ascii="Times New Roman" w:hAnsi="Times New Roman" w:eastAsia="仿宋" w:cs="Times New Roman"/>
          <w:color w:val="000000" w:themeColor="text1"/>
          <w:sz w:val="32"/>
          <w:szCs w:val="32"/>
        </w:rPr>
      </w:pPr>
    </w:p>
    <w:p w14:paraId="0BFC980F">
      <w:pPr>
        <w:pStyle w:val="4"/>
        <w:keepLines w:val="0"/>
        <w:adjustRightInd w:val="0"/>
        <w:snapToGrid w:val="0"/>
        <w:spacing w:before="156" w:after="156" w:line="600" w:lineRule="exact"/>
        <w:jc w:val="center"/>
        <w:rPr>
          <w:rFonts w:eastAsia="黑体" w:cs="Times New Roman"/>
          <w:b w:val="0"/>
          <w:szCs w:val="32"/>
        </w:rPr>
      </w:pPr>
      <w:bookmarkStart w:id="14" w:name="_Toc27802"/>
      <w:r>
        <w:rPr>
          <w:rFonts w:eastAsia="黑体" w:cs="Times New Roman"/>
          <w:b w:val="0"/>
          <w:szCs w:val="32"/>
        </w:rPr>
        <w:t>第三节  强化区域协同发展</w:t>
      </w:r>
      <w:bookmarkEnd w:id="14"/>
    </w:p>
    <w:p w14:paraId="689B2DC3">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沿海协同发展。海滨街作为大港油田重要腹地，地处渤海西畔沿海发展带，东临渤海，西接冀中平原，东南与山东毗邻，北至津唐交界处，是地跨津、冀、鲁三省市25个区、市、县的国家东部“石油小摇篮”的大后方。依托绝佳的地理区位，强化与河北、山东等沿海省市的协同发展，特别是发挥滨海新区核心区与黄骅市过渡节点优势，凭借完善的生活和商业配套设施，吸引周边区域人才向辖区集聚。</w:t>
      </w:r>
    </w:p>
    <w:p w14:paraId="6DB42F20">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环大港协同发展。以大港油田为核心牵引，借助天津港、临港经济区、南港工业区三大产业驱动平台，与大港城区、各街镇、产业园互联互通，共同形成环北大港水库的区域发展带。联合大港城区及相邻街镇，发挥北大港湿地资源优势，构筑休闲旅游圈，建设能够辐射天津东南部和河北东南部的“滨城”南部生态旅游核心区。</w:t>
      </w:r>
    </w:p>
    <w:p w14:paraId="3441DC69">
      <w:pPr>
        <w:adjustRightInd w:val="0"/>
        <w:snapToGrid w:val="0"/>
        <w:spacing w:line="600" w:lineRule="exact"/>
        <w:ind w:firstLine="640" w:firstLineChars="200"/>
        <w:rPr>
          <w:rFonts w:ascii="Times New Roman" w:hAnsi="Times New Roman" w:eastAsia="仿宋_GB2312" w:cs="Times New Roman"/>
          <w:color w:val="000000"/>
          <w:sz w:val="32"/>
          <w:szCs w:val="24"/>
        </w:rPr>
      </w:pPr>
      <w:r>
        <w:rPr>
          <w:rFonts w:ascii="Times New Roman" w:hAnsi="Times New Roman" w:eastAsia="仿宋_GB2312" w:cs="Times New Roman"/>
          <w:color w:val="000000"/>
          <w:sz w:val="32"/>
          <w:szCs w:val="24"/>
        </w:rPr>
        <w:t>辖区内部协同发展。依托大港油田、大港石化、渤海装备、渤海钻探等四家支柱企业，立足石油产业，推动石油化工、装备制造、清洁能源等相关产业与现代商贸、现代物流等配套产业，大力发展现代都市农业，加快打造港西工业园、物流仓储园、石化产业园以及农业产业园等四大特色园区，推进园区建设提质增效工程，形成以产业孕哺园区、园区提升城区、城区服务产业的“产城联动”协同发展局面。</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EB3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522" w:type="dxa"/>
            <w:vAlign w:val="center"/>
          </w:tcPr>
          <w:p w14:paraId="36ED2EED">
            <w:pPr>
              <w:snapToGrid w:val="0"/>
              <w:jc w:val="center"/>
              <w:rPr>
                <w:rFonts w:ascii="Times New Roman" w:hAnsi="Times New Roman" w:eastAsia="仿宋_GB2312" w:cs="Times New Roman"/>
                <w:color w:val="000000" w:themeColor="text1"/>
                <w:sz w:val="28"/>
                <w:szCs w:val="28"/>
              </w:rPr>
            </w:pPr>
            <w:r>
              <w:rPr>
                <w:rFonts w:ascii="Times New Roman" w:hAnsi="Times New Roman" w:eastAsia="方正小标宋简体" w:cs="Times New Roman"/>
                <w:bCs/>
                <w:color w:val="000000" w:themeColor="text1"/>
                <w:sz w:val="28"/>
                <w:szCs w:val="28"/>
              </w:rPr>
              <w:t>专栏2  产业园区提质增效工程</w:t>
            </w:r>
          </w:p>
        </w:tc>
      </w:tr>
      <w:tr w14:paraId="3D08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3E7FC884">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港西工业园。</w:t>
            </w:r>
            <w:r>
              <w:rPr>
                <w:rFonts w:ascii="Times New Roman" w:hAnsi="Times New Roman" w:eastAsia="楷体_GB2312" w:cs="Times New Roman"/>
                <w:color w:val="000000" w:themeColor="text1"/>
                <w:sz w:val="28"/>
                <w:szCs w:val="28"/>
              </w:rPr>
              <w:t>以高端装备、企业孵化为主导，重点发展机械加工、技术服务、金属制造等具有一定科技含量、发展前景良好的行业。发挥与保税区结对帮扶机制，不断完善园区基础设施配套，提升园区公共服务水平，实施园区有序更新行动，盘活园区存量资源，强化招商引资力度，不断引育新动能，打造成为绿色、安全、低耗能、高产出的优质园区，对未来经济发展起到重要支撑作用。</w:t>
            </w:r>
          </w:p>
          <w:p w14:paraId="0DC28F9C">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物流仓储园区。</w:t>
            </w:r>
            <w:r>
              <w:rPr>
                <w:rFonts w:ascii="Times New Roman" w:hAnsi="Times New Roman" w:eastAsia="楷体_GB2312" w:cs="Times New Roman"/>
                <w:color w:val="000000" w:themeColor="text1"/>
                <w:sz w:val="28"/>
                <w:szCs w:val="28"/>
              </w:rPr>
              <w:t>依托南港工业园，科学规划建设物流仓储基地，强化与南港工业区发展需求对接、产业协调联动，打造配套完善、成本低廉、服务优质的物流园区。</w:t>
            </w:r>
          </w:p>
          <w:p w14:paraId="6BAA3F24">
            <w:pPr>
              <w:snapToGrid w:val="0"/>
              <w:spacing w:line="324" w:lineRule="auto"/>
              <w:ind w:firstLine="562" w:firstLineChars="200"/>
              <w:rPr>
                <w:rFonts w:ascii="Times New Roman" w:hAnsi="Times New Roman" w:cs="Times New Roman"/>
                <w:color w:val="000000" w:themeColor="text1"/>
                <w:sz w:val="28"/>
                <w:szCs w:val="28"/>
              </w:rPr>
            </w:pPr>
            <w:r>
              <w:rPr>
                <w:rFonts w:ascii="Times New Roman" w:hAnsi="Times New Roman" w:eastAsia="STHeiti Regular" w:cs="Times New Roman"/>
                <w:b/>
                <w:bCs/>
                <w:color w:val="000000" w:themeColor="text1"/>
                <w:sz w:val="28"/>
                <w:szCs w:val="28"/>
              </w:rPr>
              <w:t>石化产业园区。</w:t>
            </w:r>
            <w:r>
              <w:rPr>
                <w:rFonts w:ascii="Times New Roman" w:hAnsi="Times New Roman" w:eastAsia="楷体_GB2312" w:cs="Times New Roman"/>
                <w:color w:val="000000" w:themeColor="text1"/>
                <w:sz w:val="28"/>
                <w:szCs w:val="28"/>
              </w:rPr>
              <w:t>依托中国石油大港油田公司等驻区央企，逐步延伸产业链，形成石化配套产业特色聚集区，助力滨海新区绿色石化产业集群发展。</w:t>
            </w:r>
          </w:p>
          <w:p w14:paraId="7F1D653F">
            <w:pPr>
              <w:snapToGrid w:val="0"/>
              <w:spacing w:line="324" w:lineRule="auto"/>
              <w:ind w:firstLine="562" w:firstLineChars="200"/>
              <w:rPr>
                <w:rFonts w:ascii="Times New Roman" w:hAnsi="Times New Roman" w:eastAsia="仿宋_GB2312" w:cs="Times New Roman"/>
                <w:color w:val="000000" w:themeColor="text1"/>
                <w:sz w:val="28"/>
                <w:szCs w:val="28"/>
              </w:rPr>
            </w:pPr>
            <w:r>
              <w:rPr>
                <w:rFonts w:ascii="Times New Roman" w:hAnsi="Times New Roman" w:eastAsia="STHeiti Regular" w:cs="Times New Roman"/>
                <w:b/>
                <w:bCs/>
                <w:color w:val="000000" w:themeColor="text1"/>
                <w:sz w:val="28"/>
                <w:szCs w:val="28"/>
              </w:rPr>
              <w:t>农业产业园。</w:t>
            </w:r>
            <w:r>
              <w:rPr>
                <w:rFonts w:ascii="Times New Roman" w:hAnsi="Times New Roman" w:eastAsia="楷体_GB2312" w:cs="Times New Roman"/>
                <w:color w:val="000000" w:themeColor="text1"/>
                <w:sz w:val="28"/>
                <w:szCs w:val="28"/>
              </w:rPr>
              <w:t>以食用菌为重点方向，聚焦高附加值农产品、高科技农业设施、高聚集度农业企业，大力发展都市农业和观光农业。积极推动食用菌循环农业产业园尽快落地。</w:t>
            </w:r>
          </w:p>
        </w:tc>
      </w:tr>
    </w:tbl>
    <w:p w14:paraId="7584B32E">
      <w:pPr>
        <w:widowControl/>
        <w:rPr>
          <w:rFonts w:ascii="Times New Roman" w:hAnsi="Times New Roman" w:eastAsia="仿宋" w:cs="Times New Roman"/>
          <w:color w:val="000000" w:themeColor="text1"/>
          <w:sz w:val="10"/>
          <w:szCs w:val="10"/>
        </w:rPr>
      </w:pPr>
    </w:p>
    <w:p w14:paraId="714AF40F">
      <w:pPr>
        <w:widowControl/>
        <w:ind w:firstLine="200" w:firstLineChars="200"/>
        <w:rPr>
          <w:rFonts w:ascii="Times New Roman" w:hAnsi="Times New Roman" w:eastAsia="仿宋" w:cs="Times New Roman"/>
          <w:color w:val="000000" w:themeColor="text1"/>
          <w:sz w:val="10"/>
          <w:szCs w:val="10"/>
        </w:rPr>
        <w:sectPr>
          <w:pgSz w:w="11906" w:h="16838"/>
          <w:pgMar w:top="1440" w:right="1576" w:bottom="1440" w:left="1576" w:header="851" w:footer="992" w:gutter="0"/>
          <w:cols w:space="425" w:num="1"/>
          <w:docGrid w:type="lines" w:linePitch="312" w:charSpace="0"/>
        </w:sectPr>
      </w:pPr>
    </w:p>
    <w:p w14:paraId="24A51DCF">
      <w:pPr>
        <w:pStyle w:val="3"/>
        <w:keepNext w:val="0"/>
        <w:keepLines w:val="0"/>
        <w:pageBreakBefore/>
        <w:adjustRightInd w:val="0"/>
        <w:snapToGrid/>
        <w:spacing w:beforeLines="0" w:afterLines="0"/>
        <w:rPr>
          <w:rFonts w:ascii="Times New Roman" w:hAnsi="Times New Roman" w:eastAsia="方正小标宋简体" w:cs="Times New Roman"/>
          <w:b w:val="0"/>
          <w:kern w:val="2"/>
          <w:sz w:val="36"/>
          <w:szCs w:val="36"/>
        </w:rPr>
      </w:pPr>
      <w:bookmarkStart w:id="15" w:name="_Toc23846"/>
      <w:r>
        <w:rPr>
          <w:rFonts w:ascii="Times New Roman" w:hAnsi="Times New Roman" w:eastAsia="方正小标宋简体" w:cs="Times New Roman"/>
          <w:b w:val="0"/>
          <w:kern w:val="2"/>
          <w:sz w:val="36"/>
          <w:szCs w:val="36"/>
        </w:rPr>
        <w:t>第四章  加速产业转型升级  构建现代产业服务基地</w:t>
      </w:r>
      <w:bookmarkEnd w:id="15"/>
    </w:p>
    <w:p w14:paraId="36F51931">
      <w:pPr>
        <w:adjustRightInd w:val="0"/>
        <w:snapToGrid w:val="0"/>
        <w:spacing w:line="600" w:lineRule="exact"/>
        <w:ind w:firstLine="640" w:firstLineChars="200"/>
        <w:rPr>
          <w:rFonts w:ascii="Times New Roman" w:hAnsi="Times New Roman" w:eastAsia="仿宋_GB2312" w:cs="Times New Roman"/>
          <w:color w:val="000000"/>
          <w:sz w:val="32"/>
          <w:szCs w:val="32"/>
        </w:rPr>
      </w:pPr>
    </w:p>
    <w:p w14:paraId="4EE26032">
      <w:pPr>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大港油田、南港工业区为两大核心驱动，以发展石化下游配套产业以及现代物流业等为主攻方向，培育壮大优势产业，推进特色产业提质增效，加速产业融合创新，形成以石油化工、装备制造、清洁能源（风电）、新型建材四大主导产业为引领，以现代物流、现代商贸等现代服务业为支撑，生态休闲农业为补充的高质量产业体系，实现一二三产业融合创新发展。</w:t>
      </w:r>
    </w:p>
    <w:p w14:paraId="7FE0E121">
      <w:pPr>
        <w:pStyle w:val="4"/>
        <w:keepLines w:val="0"/>
        <w:adjustRightInd w:val="0"/>
        <w:snapToGrid w:val="0"/>
        <w:spacing w:before="156" w:after="156" w:line="600" w:lineRule="exact"/>
        <w:jc w:val="center"/>
        <w:rPr>
          <w:rFonts w:eastAsia="黑体" w:cs="Times New Roman"/>
          <w:b w:val="0"/>
          <w:szCs w:val="32"/>
        </w:rPr>
      </w:pPr>
      <w:bookmarkStart w:id="16" w:name="_Toc12872"/>
      <w:r>
        <w:rPr>
          <w:rFonts w:eastAsia="黑体" w:cs="Times New Roman"/>
          <w:b w:val="0"/>
          <w:szCs w:val="32"/>
        </w:rPr>
        <w:t>第一节  实施优势产业培育壮大工程</w:t>
      </w:r>
      <w:bookmarkEnd w:id="16"/>
    </w:p>
    <w:p w14:paraId="156411AB">
      <w:pPr>
        <w:spacing w:line="6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rPr>
        <w:t>石油化工。</w:t>
      </w:r>
      <w:r>
        <w:rPr>
          <w:rFonts w:ascii="Times New Roman" w:hAnsi="Times New Roman" w:eastAsia="仿宋_GB2312" w:cs="Times New Roman"/>
          <w:color w:val="000000" w:themeColor="text1"/>
          <w:sz w:val="32"/>
          <w:szCs w:val="32"/>
        </w:rPr>
        <w:t>依托南港工业区世界一流化工新材料基地和国家级石化产业聚集区以及大港油田公司、大港石化公司等龙头企业，在服务石化大园区、大项目、大企业“建链、补链、强链”中主动补位，重点发展以化工新材料和精细化工类产品为特色的延伸加工、副产资源综合利用，发展高效低碳、生态环保型石化下游产业。同时，依托大型企业的研发中心，创新发展与之相配套的石油化工技术研发外包、检测、维修服务等，打造石油化工设备生产服务产业集群。建成面向国内国际化工品市场，形成仓储配送一体化的现代化工物流体系。</w:t>
      </w:r>
    </w:p>
    <w:p w14:paraId="6417E8A6">
      <w:pPr>
        <w:spacing w:line="600" w:lineRule="exact"/>
        <w:ind w:firstLine="643" w:firstLineChars="200"/>
        <w:rPr>
          <w:rFonts w:ascii="Times New Roman" w:hAnsi="Times New Roman" w:eastAsia="仿宋_GB2312" w:cs="Times New Roman"/>
          <w:color w:val="000000" w:themeColor="text1"/>
          <w:kern w:val="0"/>
          <w:sz w:val="32"/>
          <w:szCs w:val="32"/>
          <w:lang w:val="zh-CN"/>
        </w:rPr>
      </w:pPr>
      <w:r>
        <w:rPr>
          <w:rFonts w:ascii="Times New Roman" w:hAnsi="Times New Roman" w:eastAsia="仿宋_GB2312" w:cs="Times New Roman"/>
          <w:b/>
          <w:color w:val="000000" w:themeColor="text1"/>
          <w:sz w:val="32"/>
          <w:szCs w:val="32"/>
        </w:rPr>
        <w:t>装备制造。</w:t>
      </w:r>
      <w:r>
        <w:rPr>
          <w:rFonts w:ascii="Times New Roman" w:hAnsi="Times New Roman" w:eastAsia="仿宋_GB2312" w:cs="Times New Roman"/>
          <w:color w:val="000000" w:themeColor="text1"/>
          <w:sz w:val="32"/>
          <w:szCs w:val="32"/>
        </w:rPr>
        <w:t>以港西工业园为载体，加强机械加工等领域企业的引进和产品开发，建成机械装备制造示范园。</w:t>
      </w:r>
      <w:r>
        <w:rPr>
          <w:rFonts w:ascii="Times New Roman" w:hAnsi="Times New Roman" w:eastAsia="仿宋_GB2312" w:cs="Times New Roman"/>
          <w:color w:val="000000" w:themeColor="text1"/>
          <w:kern w:val="0"/>
          <w:sz w:val="32"/>
          <w:szCs w:val="32"/>
          <w:lang w:val="zh-CN"/>
        </w:rPr>
        <w:t>大力发展机械电子、机械制造等装备制造业，推进先进制造业转型发展。依托</w:t>
      </w:r>
      <w:r>
        <w:rPr>
          <w:rFonts w:ascii="Times New Roman" w:hAnsi="Times New Roman" w:eastAsia="仿宋_GB2312" w:cs="Times New Roman"/>
          <w:color w:val="000000" w:themeColor="text1"/>
          <w:sz w:val="32"/>
          <w:szCs w:val="32"/>
        </w:rPr>
        <w:t>港西工业园、</w:t>
      </w:r>
      <w:r>
        <w:rPr>
          <w:rFonts w:ascii="Times New Roman" w:hAnsi="Times New Roman" w:eastAsia="仿宋_GB2312" w:cs="Times New Roman"/>
          <w:color w:val="000000" w:themeColor="text1"/>
          <w:kern w:val="0"/>
          <w:sz w:val="32"/>
          <w:szCs w:val="32"/>
          <w:lang w:val="zh-CN"/>
        </w:rPr>
        <w:t>渤海装备公司、渤海钻探公司等</w:t>
      </w:r>
      <w:r>
        <w:rPr>
          <w:rFonts w:ascii="Times New Roman" w:hAnsi="Times New Roman" w:eastAsia="仿宋_GB2312" w:cs="Times New Roman"/>
          <w:color w:val="000000" w:themeColor="text1"/>
          <w:kern w:val="0"/>
          <w:sz w:val="32"/>
          <w:szCs w:val="32"/>
        </w:rPr>
        <w:t>园区和</w:t>
      </w:r>
      <w:r>
        <w:rPr>
          <w:rFonts w:ascii="Times New Roman" w:hAnsi="Times New Roman" w:eastAsia="仿宋_GB2312" w:cs="Times New Roman"/>
          <w:color w:val="000000" w:themeColor="text1"/>
          <w:kern w:val="0"/>
          <w:sz w:val="32"/>
          <w:szCs w:val="32"/>
          <w:lang w:val="zh-CN"/>
        </w:rPr>
        <w:t>大型装备制造企业，提升油气钻采设备、工具和配件的自主创新、产品攻关和市场拓展能力，打造装备精良、工艺技术先进的综合性油气钻采装备制造产业集群，以两大高端装备制造的影响力带动力，引领推动海滨街装备制造业产业转型升级。</w:t>
      </w:r>
    </w:p>
    <w:p w14:paraId="77BDB896">
      <w:pPr>
        <w:spacing w:line="600" w:lineRule="exact"/>
        <w:ind w:firstLine="643" w:firstLineChars="200"/>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b/>
          <w:color w:val="000000" w:themeColor="text1"/>
          <w:sz w:val="32"/>
          <w:szCs w:val="32"/>
        </w:rPr>
        <w:t>清洁能源</w:t>
      </w:r>
      <w:r>
        <w:rPr>
          <w:rFonts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kern w:val="0"/>
          <w:sz w:val="32"/>
          <w:szCs w:val="32"/>
        </w:rPr>
        <w:t>发挥</w:t>
      </w:r>
      <w:r>
        <w:rPr>
          <w:rFonts w:ascii="Times New Roman" w:hAnsi="Times New Roman" w:eastAsia="仿宋_GB2312" w:cs="Times New Roman"/>
          <w:color w:val="000000" w:themeColor="text1"/>
          <w:kern w:val="0"/>
          <w:sz w:val="32"/>
          <w:szCs w:val="32"/>
          <w:lang w:val="zh-CN"/>
        </w:rPr>
        <w:t>风力资源富集优势，利用风能、光能等自然资源，推进风电、光伏等分布式能源项目建设，</w:t>
      </w:r>
      <w:r>
        <w:rPr>
          <w:rFonts w:ascii="Times New Roman" w:hAnsi="Times New Roman" w:eastAsia="仿宋_GB2312" w:cs="Times New Roman"/>
          <w:color w:val="000000" w:themeColor="text1"/>
          <w:kern w:val="0"/>
          <w:sz w:val="32"/>
          <w:szCs w:val="32"/>
        </w:rPr>
        <w:t>整合盘活闲置和低效利用土地发展清洁能源，</w:t>
      </w:r>
      <w:r>
        <w:rPr>
          <w:rFonts w:ascii="Times New Roman" w:hAnsi="Times New Roman" w:eastAsia="仿宋_GB2312" w:cs="Times New Roman"/>
          <w:color w:val="000000" w:themeColor="text1"/>
          <w:kern w:val="0"/>
          <w:sz w:val="32"/>
          <w:szCs w:val="32"/>
          <w:lang w:val="zh-CN"/>
        </w:rPr>
        <w:t>打造一批高科技、数字化、现代化的发电基地，逐步提升清洁能源占比，打造新能源产业基地。围绕龙头项目加强招商，逐步形成与项目上下链接、相互配套的产业链</w:t>
      </w:r>
      <w:r>
        <w:rPr>
          <w:rFonts w:ascii="Times New Roman" w:hAnsi="Times New Roman" w:eastAsia="仿宋_GB2312" w:cs="Times New Roman"/>
          <w:color w:val="000000" w:themeColor="text1"/>
          <w:kern w:val="0"/>
          <w:sz w:val="32"/>
          <w:szCs w:val="32"/>
        </w:rPr>
        <w:t>条</w:t>
      </w:r>
      <w:r>
        <w:rPr>
          <w:rFonts w:ascii="Times New Roman" w:hAnsi="Times New Roman" w:eastAsia="仿宋_GB2312" w:cs="Times New Roman"/>
          <w:color w:val="000000" w:themeColor="text1"/>
          <w:kern w:val="0"/>
          <w:sz w:val="32"/>
          <w:szCs w:val="32"/>
          <w:lang w:val="zh-CN"/>
        </w:rPr>
        <w:t>，培植新能源产业集群。</w:t>
      </w:r>
    </w:p>
    <w:p w14:paraId="327553C7">
      <w:pPr>
        <w:pStyle w:val="4"/>
        <w:keepLines w:val="0"/>
        <w:adjustRightInd w:val="0"/>
        <w:snapToGrid w:val="0"/>
        <w:spacing w:before="156" w:after="156" w:line="600" w:lineRule="exact"/>
        <w:jc w:val="center"/>
        <w:rPr>
          <w:rFonts w:eastAsia="黑体" w:cs="Times New Roman"/>
          <w:b w:val="0"/>
          <w:szCs w:val="32"/>
        </w:rPr>
      </w:pPr>
      <w:bookmarkStart w:id="17" w:name="_Toc6784"/>
      <w:r>
        <w:rPr>
          <w:rFonts w:eastAsia="黑体" w:cs="Times New Roman"/>
          <w:b w:val="0"/>
          <w:szCs w:val="32"/>
        </w:rPr>
        <w:t>第二节  实施特色产业提质增效工程</w:t>
      </w:r>
      <w:bookmarkEnd w:id="17"/>
    </w:p>
    <w:p w14:paraId="2DD6274C">
      <w:pPr>
        <w:spacing w:line="600" w:lineRule="exact"/>
        <w:ind w:firstLine="643" w:firstLineChars="200"/>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rPr>
        <w:t>生产性服务业。</w:t>
      </w:r>
      <w:r>
        <w:rPr>
          <w:rFonts w:ascii="Times New Roman" w:hAnsi="Times New Roman" w:eastAsia="仿宋_GB2312" w:cs="Times New Roman"/>
          <w:color w:val="000000" w:themeColor="text1"/>
          <w:sz w:val="32"/>
          <w:szCs w:val="32"/>
        </w:rPr>
        <w:t>以服务石油化工产业和南港工业区为重点，大力发展物流加工、仓储、装卸、周转、配送和石化专业物流和散货物流，鼓励和扶持第三方、第四方物流发展，配套港口航运物流，构建高效、快捷、环保的物流营运体系。大力发展科技研发、技术推广、工业设计、服务外包等科技服务业，鼓励企业和研究机构、大专院校开展合作，开发具有自主知识产权的成果，强化科技成果转化和孵化，提升街镇科技服务水平。培育和发展信息和中介机构，推动会计、审计、律师、评估、公证、技术检测和认证等中介机构的规范化、规模化、国际化。</w:t>
      </w:r>
    </w:p>
    <w:p w14:paraId="6343322F">
      <w:pPr>
        <w:spacing w:line="600" w:lineRule="exact"/>
        <w:ind w:firstLine="643" w:firstLineChars="200"/>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rPr>
        <w:t>生活性服务业。</w:t>
      </w:r>
      <w:r>
        <w:rPr>
          <w:rFonts w:ascii="Times New Roman" w:hAnsi="Times New Roman" w:eastAsia="仿宋_GB2312" w:cs="Times New Roman"/>
          <w:color w:val="000000" w:themeColor="text1"/>
          <w:sz w:val="32"/>
          <w:szCs w:val="32"/>
        </w:rPr>
        <w:t>大力发展餐饮、健康、养老等生活性服务业。推进港西新城商超等大型商业综合体和购物中心品质提升，打造高端消费载体，丰富商品种类，建立从大众品牌到高端品牌的全覆盖，满足多层次消费需求，引导居民本地消费。丰富夜间消费体验和消费环境，发展海滨夜间经济。依托海滨人民医院旧址改造，加快建设医养结合康养中心，建立</w:t>
      </w:r>
      <w:r>
        <w:rPr>
          <w:rFonts w:ascii="Times New Roman" w:hAnsi="Times New Roman" w:eastAsia="仿宋_GB2312" w:cs="Times New Roman"/>
          <w:bCs/>
          <w:color w:val="000000" w:themeColor="text1"/>
          <w:sz w:val="32"/>
          <w:szCs w:val="32"/>
        </w:rPr>
        <w:t>医康养相结合的养老服务体系。优化现代农业片区土地资源种植结构，建设服务本区域的生活性农业种植基地。充分利用北大港湿地资源</w:t>
      </w:r>
      <w:r>
        <w:rPr>
          <w:rFonts w:ascii="Times New Roman" w:hAnsi="Times New Roman" w:eastAsia="仿宋_GB2312" w:cs="Times New Roman"/>
          <w:color w:val="000000" w:themeColor="text1"/>
          <w:sz w:val="32"/>
          <w:szCs w:val="32"/>
        </w:rPr>
        <w:t>，发挥生态优势，大力发展休闲度假旅游，打造高端游乐项目。以幸福广场和港西新城为依托，发展现代商务服务业，整合闲置楼宇，挖掘楼宇资源，推进科技型企业孵育载体建设。</w:t>
      </w:r>
    </w:p>
    <w:p w14:paraId="18ED1635">
      <w:pPr>
        <w:spacing w:line="600" w:lineRule="exact"/>
        <w:ind w:firstLine="643" w:firstLineChars="200"/>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rPr>
        <w:t>高铁经济。</w:t>
      </w:r>
      <w:r>
        <w:rPr>
          <w:rFonts w:ascii="Times New Roman" w:hAnsi="Times New Roman" w:eastAsia="仿宋_GB2312" w:cs="Times New Roman"/>
          <w:color w:val="000000" w:themeColor="text1"/>
          <w:sz w:val="32"/>
          <w:szCs w:val="32"/>
        </w:rPr>
        <w:t>充分发挥滨海南站交通枢纽势，聚集人才流、物质流、资金流、技术流和信息流。完善滨海南站周边餐饮、购物、娱乐等城市配套建设，带动周边地区形成集交通、商务、文化娱乐等多种城市公共职能的新型交通商务中心，增强海滨街的辐射作用。</w:t>
      </w:r>
    </w:p>
    <w:p w14:paraId="7B0F224C">
      <w:pPr>
        <w:widowControl/>
        <w:spacing w:line="6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rPr>
        <w:t>房地产。</w:t>
      </w:r>
      <w:r>
        <w:rPr>
          <w:rFonts w:ascii="Times New Roman" w:hAnsi="Times New Roman" w:eastAsia="仿宋_GB2312" w:cs="Times New Roman"/>
          <w:color w:val="000000" w:themeColor="text1"/>
          <w:sz w:val="32"/>
          <w:szCs w:val="32"/>
        </w:rPr>
        <w:t>加快平房和旧楼区改造，结合老旧小区升级改造，试点引入商业地产，推进主城区高品质住宅小区建设，打造精品生活小区，提升辖区居民居住条件。</w:t>
      </w:r>
    </w:p>
    <w:p w14:paraId="0445DD8C">
      <w:pPr>
        <w:pStyle w:val="4"/>
        <w:keepLines w:val="0"/>
        <w:adjustRightInd w:val="0"/>
        <w:snapToGrid w:val="0"/>
        <w:spacing w:before="156" w:after="156" w:line="600" w:lineRule="exact"/>
        <w:jc w:val="center"/>
        <w:rPr>
          <w:rFonts w:eastAsia="黑体" w:cs="Times New Roman"/>
          <w:b w:val="0"/>
          <w:szCs w:val="32"/>
        </w:rPr>
      </w:pPr>
      <w:bookmarkStart w:id="18" w:name="_Toc22320"/>
      <w:r>
        <w:rPr>
          <w:rFonts w:eastAsia="黑体" w:cs="Times New Roman"/>
          <w:b w:val="0"/>
          <w:szCs w:val="32"/>
        </w:rPr>
        <w:t>第三节  实施制造产业融合创新工程</w:t>
      </w:r>
      <w:bookmarkEnd w:id="18"/>
    </w:p>
    <w:p w14:paraId="3E85C6DD">
      <w:pPr>
        <w:spacing w:line="6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赋能制造业升级。</w:t>
      </w:r>
      <w:r>
        <w:rPr>
          <w:rFonts w:ascii="Times New Roman" w:hAnsi="Times New Roman" w:eastAsia="仿宋_GB2312" w:cs="Times New Roman"/>
          <w:color w:val="000000" w:themeColor="text1"/>
          <w:sz w:val="32"/>
          <w:szCs w:val="32"/>
        </w:rPr>
        <w:t>推动制造业数字化、网络化、智能化发展，引导企业开展工业网络改造与装备数字化升级，推动石化、装备制造等重点行业聚焦行业数字化转型需求，培育和推广行业解决方案，促进制造业产业模式的根本性转变。引导企业发展数字化管理、智能化生产、个性化定制、网络化协同、服务化延伸等新模式，实现资源高效利用与动态优化配置，全面释放创新活力，服务数“智”化油田建设。</w:t>
      </w:r>
    </w:p>
    <w:p w14:paraId="7C1A5A2A">
      <w:pPr>
        <w:spacing w:line="6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推进制造业服务业融合。</w:t>
      </w:r>
      <w:r>
        <w:rPr>
          <w:rFonts w:ascii="Times New Roman" w:hAnsi="Times New Roman" w:eastAsia="仿宋_GB2312" w:cs="Times New Roman"/>
          <w:color w:val="000000" w:themeColor="text1"/>
          <w:sz w:val="32"/>
          <w:szCs w:val="32"/>
        </w:rPr>
        <w:t>鼓励服务型企业创新服务模式，发挥生产性服务业对制造业转型升级的支撑作用。加快发展先进制造业和现代服务业融合新业态，探索系统集成总承包、全生命周期管理、品牌规则控制、众包等制造服务融合新模式。依托制造业优势和现代物流加快发展的契机，推动物流业与制造业协同联动和跨界融合，培育形成一批物流业制造业融合发展标杆企业。</w:t>
      </w:r>
    </w:p>
    <w:p w14:paraId="5B45EA6B">
      <w:pPr>
        <w:spacing w:line="6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推动与保税区联动发展。</w:t>
      </w:r>
      <w:r>
        <w:rPr>
          <w:rFonts w:ascii="Times New Roman" w:hAnsi="Times New Roman" w:eastAsia="仿宋_GB2312" w:cs="Times New Roman"/>
          <w:color w:val="000000" w:themeColor="text1"/>
          <w:sz w:val="32"/>
          <w:szCs w:val="32"/>
        </w:rPr>
        <w:t>充分利用与保税区结对帮扶机制，发挥海滨街的产业优势、园区优势、区位优势，借鉴保税区成熟的园区开发和招商引资模式，引入“飞地经济”发展模式，实现与保税区的深度对接，促进资源要素双向流动、发展平台共建共享、创新成果转化应用，合力打造区域协同发展的典范。</w:t>
      </w:r>
    </w:p>
    <w:p w14:paraId="66A8AB9F">
      <w:pPr>
        <w:ind w:firstLine="640" w:firstLineChars="200"/>
        <w:rPr>
          <w:rFonts w:ascii="Times New Roman" w:hAnsi="Times New Roman" w:eastAsia="仿宋_GB2312" w:cs="Times New Roman"/>
          <w:color w:val="000000" w:themeColor="text1"/>
          <w:sz w:val="32"/>
          <w:szCs w:val="32"/>
        </w:rPr>
        <w:sectPr>
          <w:pgSz w:w="11906" w:h="16838"/>
          <w:pgMar w:top="1440" w:right="1576" w:bottom="1440" w:left="1576" w:header="851" w:footer="992" w:gutter="0"/>
          <w:cols w:space="425" w:num="1"/>
          <w:docGrid w:type="lines" w:linePitch="312" w:charSpace="0"/>
        </w:sectPr>
      </w:pPr>
    </w:p>
    <w:p w14:paraId="5704DB95">
      <w:pPr>
        <w:pStyle w:val="3"/>
        <w:keepNext w:val="0"/>
        <w:keepLines w:val="0"/>
        <w:pageBreakBefore/>
        <w:adjustRightInd w:val="0"/>
        <w:snapToGrid/>
        <w:spacing w:beforeLines="0" w:afterLines="0"/>
        <w:rPr>
          <w:rFonts w:ascii="Times New Roman" w:hAnsi="Times New Roman" w:eastAsia="方正小标宋简体" w:cs="Times New Roman"/>
          <w:b w:val="0"/>
          <w:kern w:val="2"/>
          <w:sz w:val="36"/>
          <w:szCs w:val="36"/>
        </w:rPr>
      </w:pPr>
      <w:bookmarkStart w:id="19" w:name="_Toc31879"/>
      <w:r>
        <w:rPr>
          <w:rFonts w:ascii="Times New Roman" w:hAnsi="Times New Roman" w:eastAsia="方正小标宋简体" w:cs="Times New Roman"/>
          <w:b w:val="0"/>
          <w:kern w:val="2"/>
          <w:sz w:val="36"/>
          <w:szCs w:val="36"/>
        </w:rPr>
        <w:t>第五章  践行生态文明理念  打造生态宜居城区</w:t>
      </w:r>
      <w:bookmarkEnd w:id="19"/>
    </w:p>
    <w:p w14:paraId="0D1BF8EE">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牢固树立“绿水青山就是金山银山”理念，坚持生态优先，全面实施绿色低碳发展战略。围绕北大港水库和津南生态廊道</w:t>
      </w:r>
      <w:r>
        <w:rPr>
          <w:rStyle w:val="19"/>
          <w:rFonts w:ascii="Times New Roman" w:hAnsi="Times New Roman" w:eastAsia="仿宋_GB2312" w:cs="Times New Roman"/>
          <w:sz w:val="32"/>
          <w:szCs w:val="32"/>
        </w:rPr>
        <w:footnoteReference w:id="0"/>
      </w:r>
      <w:r>
        <w:rPr>
          <w:rFonts w:ascii="Times New Roman" w:hAnsi="Times New Roman" w:eastAsia="仿宋_GB2312" w:cs="Times New Roman"/>
          <w:sz w:val="32"/>
          <w:szCs w:val="32"/>
        </w:rPr>
        <w:t>，落实最严格的生态保护制度，坚持经济发展与生态效益相统一，着力推进绿色发展、循环发展和低碳发展，打造人与自然和谐共生的高品质宜居油田新城区。</w:t>
      </w:r>
    </w:p>
    <w:p w14:paraId="3518339E">
      <w:pPr>
        <w:pStyle w:val="4"/>
        <w:keepLines w:val="0"/>
        <w:adjustRightInd w:val="0"/>
        <w:snapToGrid w:val="0"/>
        <w:spacing w:before="156" w:after="156" w:line="600" w:lineRule="exact"/>
        <w:jc w:val="center"/>
        <w:rPr>
          <w:rFonts w:eastAsia="黑体" w:cs="Times New Roman"/>
          <w:b w:val="0"/>
          <w:szCs w:val="32"/>
        </w:rPr>
      </w:pPr>
      <w:bookmarkStart w:id="20" w:name="_Toc2045"/>
      <w:r>
        <w:rPr>
          <w:rFonts w:eastAsia="黑体" w:cs="Times New Roman"/>
          <w:b w:val="0"/>
          <w:szCs w:val="32"/>
        </w:rPr>
        <w:t>第一节  实施绿色生态环境整治工程</w:t>
      </w:r>
      <w:bookmarkEnd w:id="20"/>
    </w:p>
    <w:p w14:paraId="48020E6A">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全力做好生态环境保护。</w:t>
      </w:r>
      <w:r>
        <w:rPr>
          <w:rFonts w:ascii="Times New Roman" w:hAnsi="Times New Roman" w:eastAsia="仿宋_GB2312" w:cs="Times New Roman"/>
          <w:sz w:val="32"/>
          <w:szCs w:val="32"/>
        </w:rPr>
        <w:t>聚焦北大港湿地自然保护区和津南生态廊道，做好南北生态涵养片区保护。按照《天津市北大港湿地自然保护区范围和功能区调整方案》，严格落实生态保护红线要求，严控各类项目开发过程，恢复湿地保护区生态效应；推进贝壳堤湿地保护区、北大港湿地保护区退出生产经营活动工作；围绕沙井子水库，涵养水源、恢复生态，蓄水恢复植被，建设水岸特色湿地公园。全面落实滨海新区国土空间开发保护目标，努力实现生产低耗用、低排放、低污染，全力推进绿色生态矿山建设，形成绿色、安全的生态保护格局和城乡协同发展格局。</w:t>
      </w:r>
    </w:p>
    <w:p w14:paraId="22234E47">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积极推动市容市貌优化。</w:t>
      </w:r>
      <w:r>
        <w:rPr>
          <w:rFonts w:ascii="Times New Roman" w:hAnsi="Times New Roman" w:eastAsia="仿宋_GB2312" w:cs="Times New Roman"/>
          <w:sz w:val="32"/>
          <w:szCs w:val="32"/>
        </w:rPr>
        <w:t>持续提升主要路口和交通节点的景观绿化水平，逐步形成连接东区和港西新城的绿色生态廊道；高水平建设生态绿地公园，重点推进庆丰公园、滨海公园及周边市容环境提升工程，构建“中心公园—片区公园—社区公园”三级绿地公园体系，确保绿地公园布局的整体性和功能的协调性，推动市容市貌整体优化。</w:t>
      </w:r>
    </w:p>
    <w:p w14:paraId="3D3C914A">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着力提升村庄生态环境治理水平。</w:t>
      </w:r>
      <w:r>
        <w:rPr>
          <w:rFonts w:ascii="Times New Roman" w:hAnsi="Times New Roman" w:eastAsia="仿宋_GB2312" w:cs="Times New Roman"/>
          <w:sz w:val="32"/>
          <w:szCs w:val="32"/>
        </w:rPr>
        <w:t>重点围绕沙井子村、远景村、联盟村等六个村庄，配合新区要求，重新划定防洪保护区，建设好水利基础设施，推动太沙路东侧集中安置点建设，做好原村台复垦工作。加强生物多样性保护，与上级环保部门协同开展湿地和野生动物疫情监测工作；大力推进农村生活污水应收尽收，建立辖区耕地质量和土壤墒情、农业面源污染、土壤环境监测网点，形成覆盖街区全域的遥感、固定观测和移动监测等一体化的农业资源监测体系。</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1C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522" w:type="dxa"/>
            <w:vAlign w:val="center"/>
          </w:tcPr>
          <w:p w14:paraId="77AC9537">
            <w:pPr>
              <w:snapToGrid w:val="0"/>
              <w:jc w:val="center"/>
              <w:rPr>
                <w:rFonts w:ascii="Times New Roman" w:hAnsi="Times New Roman" w:eastAsia="仿宋_GB2312" w:cs="Times New Roman"/>
                <w:color w:val="000000" w:themeColor="text1"/>
                <w:sz w:val="28"/>
                <w:szCs w:val="28"/>
              </w:rPr>
            </w:pPr>
            <w:r>
              <w:rPr>
                <w:rFonts w:ascii="Times New Roman" w:hAnsi="Times New Roman" w:eastAsia="方正小标宋简体" w:cs="Times New Roman"/>
                <w:bCs/>
                <w:color w:val="000000" w:themeColor="text1"/>
                <w:sz w:val="28"/>
                <w:szCs w:val="28"/>
              </w:rPr>
              <w:t>专栏3城市环境提升专项行动</w:t>
            </w:r>
          </w:p>
        </w:tc>
      </w:tr>
      <w:tr w14:paraId="37FC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1A3C0D8">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绿地建设行动。</w:t>
            </w:r>
            <w:r>
              <w:rPr>
                <w:rFonts w:ascii="Times New Roman" w:hAnsi="Times New Roman" w:eastAsia="楷体_GB2312" w:cs="Times New Roman"/>
                <w:color w:val="000000" w:themeColor="text1"/>
                <w:sz w:val="28"/>
                <w:szCs w:val="28"/>
              </w:rPr>
              <w:t>大幅度增加油田居住区、沙井子村与中心城区结合区域等街区绿地面积，高水平构建“中心公园—片区公园—社区公园”三级生态绿地公园体系，提高街区绿地率和人均绿地公园面积。</w:t>
            </w:r>
          </w:p>
          <w:p w14:paraId="35727550">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景观升级行动。</w:t>
            </w:r>
            <w:r>
              <w:rPr>
                <w:rFonts w:ascii="Times New Roman" w:hAnsi="Times New Roman" w:eastAsia="楷体_GB2312" w:cs="Times New Roman"/>
                <w:color w:val="000000" w:themeColor="text1"/>
                <w:sz w:val="28"/>
                <w:szCs w:val="28"/>
              </w:rPr>
              <w:t>推进幸福路、创业路等街区主干道路沿线绿色景观升级改造，推进绿色生态走廊景观品质提升。</w:t>
            </w:r>
          </w:p>
          <w:p w14:paraId="7EC6270C">
            <w:pPr>
              <w:snapToGrid w:val="0"/>
              <w:spacing w:line="324" w:lineRule="auto"/>
              <w:ind w:firstLine="562" w:firstLineChars="200"/>
              <w:rPr>
                <w:rFonts w:ascii="Times New Roman" w:hAnsi="Times New Roman" w:eastAsia="仿宋_GB2312" w:cs="Times New Roman"/>
                <w:color w:val="000000" w:themeColor="text1"/>
                <w:sz w:val="28"/>
                <w:szCs w:val="28"/>
              </w:rPr>
            </w:pPr>
            <w:r>
              <w:rPr>
                <w:rFonts w:ascii="Times New Roman" w:hAnsi="Times New Roman" w:eastAsia="STHeiti Regular" w:cs="Times New Roman"/>
                <w:b/>
                <w:bCs/>
                <w:color w:val="000000" w:themeColor="text1"/>
                <w:sz w:val="28"/>
                <w:szCs w:val="28"/>
              </w:rPr>
              <w:t>环境美化行动。</w:t>
            </w:r>
            <w:r>
              <w:rPr>
                <w:rFonts w:ascii="Times New Roman" w:hAnsi="Times New Roman" w:eastAsia="楷体_GB2312" w:cs="Times New Roman"/>
                <w:color w:val="000000" w:themeColor="text1"/>
                <w:sz w:val="28"/>
                <w:szCs w:val="28"/>
              </w:rPr>
              <w:t>提升街区道路卫生环境整体质量，做好主干道路与社区道路保洁清扫。改善北大港水库周边道路设施与卫生环境条件，建设水岸湿地特色公园。</w:t>
            </w:r>
          </w:p>
        </w:tc>
      </w:tr>
    </w:tbl>
    <w:p w14:paraId="43DFF16D">
      <w:pPr>
        <w:pStyle w:val="4"/>
        <w:keepLines w:val="0"/>
        <w:adjustRightInd w:val="0"/>
        <w:snapToGrid w:val="0"/>
        <w:spacing w:before="156" w:after="156" w:line="600" w:lineRule="exact"/>
        <w:jc w:val="center"/>
        <w:rPr>
          <w:rFonts w:eastAsia="黑体" w:cs="Times New Roman"/>
          <w:b w:val="0"/>
          <w:szCs w:val="32"/>
        </w:rPr>
      </w:pPr>
      <w:bookmarkStart w:id="21" w:name="_Toc2591"/>
      <w:r>
        <w:rPr>
          <w:rFonts w:eastAsia="黑体" w:cs="Times New Roman"/>
          <w:b w:val="0"/>
          <w:szCs w:val="32"/>
        </w:rPr>
        <w:t>第二节  实施生态环境污染防治工程</w:t>
      </w:r>
      <w:bookmarkEnd w:id="21"/>
    </w:p>
    <w:p w14:paraId="49FAAECF">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加快绿色生产体系建设。</w:t>
      </w:r>
      <w:r>
        <w:rPr>
          <w:rFonts w:ascii="Times New Roman" w:hAnsi="Times New Roman" w:eastAsia="仿宋_GB2312" w:cs="Times New Roman"/>
          <w:sz w:val="32"/>
          <w:szCs w:val="32"/>
        </w:rPr>
        <w:t>贯彻落实滨海新区有关污染防治的相关要求，与新区环保部门加强配合，加强污染源管控，提高企业和居民的生态环境保护意识。切实加强基层环保工作，落实企业主体责任、促进节能监察监测有机结合，实时跟进重点企业节能监察，推动企业节能技术进步，提高能源利用效率，形成有效的激励和约束机制。落实新区碳排放、碳达峰工作任务，逐步推进1100亩碳中和林项目建设。</w:t>
      </w:r>
    </w:p>
    <w:p w14:paraId="72917B3C">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持续改善大气环境质量。</w:t>
      </w:r>
      <w:r>
        <w:rPr>
          <w:rFonts w:ascii="Times New Roman" w:hAnsi="Times New Roman" w:eastAsia="仿宋_GB2312" w:cs="Times New Roman"/>
          <w:sz w:val="32"/>
          <w:szCs w:val="32"/>
        </w:rPr>
        <w:t>落实蓝天保卫战要求，做好大气污染防治的攻坚工作，加强对涉气、涉废水、涉危废企业的巡查力度。结合街村网格化管理模式，推进秸秆资源化利用，保证秸秆禁烧综合管控责任落实到位。环境日常巡查与大气污染防治相结合，依照新修订的《天津市大气污染防治条例》，发现问题从严治理，推动区域空气质量优良天数达标。</w:t>
      </w:r>
    </w:p>
    <w:p w14:paraId="54C69085">
      <w:pPr>
        <w:pStyle w:val="4"/>
        <w:keepLines w:val="0"/>
        <w:adjustRightInd w:val="0"/>
        <w:snapToGrid w:val="0"/>
        <w:spacing w:before="156" w:after="156" w:line="600" w:lineRule="exact"/>
        <w:jc w:val="center"/>
        <w:rPr>
          <w:rFonts w:eastAsia="黑体" w:cs="Times New Roman"/>
          <w:b w:val="0"/>
          <w:szCs w:val="32"/>
        </w:rPr>
      </w:pPr>
      <w:bookmarkStart w:id="22" w:name="_Toc4442"/>
      <w:r>
        <w:rPr>
          <w:rFonts w:eastAsia="黑体" w:cs="Times New Roman"/>
          <w:b w:val="0"/>
          <w:szCs w:val="32"/>
        </w:rPr>
        <w:t>第三节  实施绿色生活方式倡导工程</w:t>
      </w:r>
      <w:bookmarkEnd w:id="22"/>
    </w:p>
    <w:p w14:paraId="02A626A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加强绿色生活方式宣传推广。</w:t>
      </w:r>
      <w:r>
        <w:rPr>
          <w:rFonts w:ascii="Times New Roman" w:hAnsi="Times New Roman" w:eastAsia="仿宋_GB2312" w:cs="Times New Roman"/>
          <w:sz w:val="32"/>
          <w:szCs w:val="32"/>
        </w:rPr>
        <w:t>发挥社区服务中心宣传引领作用，创新宣教工作方式，大力推动绿色生活进机关、企业、学校、社区、家庭，增进公众生态环境保护的守法意识，组织开展日常生活节约用电、生活垃圾污水不随意排放、公共场所全面禁烟等高参与度的绿色生活活动。严格执行《天津市生活垃圾管理条例》，做好生活垃圾分类工作，创建生活垃圾分类师范街。建立推动生活方式绿色化的志愿者队伍，积极推动垃圾分类、创文、国卫复审等重点工作实现全民参与，鼓励绿色出游、减少一次性餐具使用等，促进生活方式绿色化理念深入人心。</w:t>
      </w:r>
    </w:p>
    <w:p w14:paraId="0215287A">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搭建绿色生活方式行动平台。</w:t>
      </w:r>
      <w:r>
        <w:rPr>
          <w:rFonts w:ascii="Times New Roman" w:hAnsi="Times New Roman" w:eastAsia="仿宋_GB2312" w:cs="Times New Roman"/>
          <w:sz w:val="32"/>
          <w:szCs w:val="32"/>
        </w:rPr>
        <w:t>在严守生态红线的前提下，围绕北大港水库等生态涵养区周边公共空间，建设体育健身设施和亲水慢跑路线，满足居民多样化的健身需求。依托社区服务中心定期发布绿色生活行动指南，帮助居民有效获取新能源汽车、高能效家电、节水型器具等节能环保低碳产品信息。组织开展以绿色生活、绿色消费为主题的文化活动，更好传播绿色生活知识和实践方法，提升全民生态文明意识和道德修养。</w:t>
      </w:r>
    </w:p>
    <w:p w14:paraId="1B3EBC3D">
      <w:pPr>
        <w:ind w:firstLine="640" w:firstLineChars="200"/>
        <w:rPr>
          <w:rFonts w:ascii="Times New Roman" w:hAnsi="Times New Roman" w:eastAsia="仿宋" w:cs="Times New Roman"/>
          <w:sz w:val="32"/>
          <w:szCs w:val="32"/>
        </w:rPr>
      </w:pPr>
    </w:p>
    <w:p w14:paraId="004AA1F8">
      <w:pPr>
        <w:ind w:firstLine="640" w:firstLineChars="200"/>
        <w:rPr>
          <w:rFonts w:ascii="Times New Roman" w:hAnsi="Times New Roman" w:eastAsia="仿宋" w:cs="Times New Roman"/>
          <w:sz w:val="32"/>
          <w:szCs w:val="32"/>
        </w:rPr>
      </w:pPr>
    </w:p>
    <w:p w14:paraId="678A59E4">
      <w:pPr>
        <w:ind w:firstLine="640" w:firstLineChars="200"/>
        <w:rPr>
          <w:rFonts w:ascii="Times New Roman" w:hAnsi="Times New Roman" w:eastAsia="仿宋" w:cs="Times New Roman"/>
          <w:sz w:val="32"/>
          <w:szCs w:val="32"/>
        </w:rPr>
      </w:pPr>
    </w:p>
    <w:p w14:paraId="566F6A6A">
      <w:pPr>
        <w:pStyle w:val="3"/>
        <w:adjustRightInd w:val="0"/>
        <w:spacing w:before="312" w:after="312"/>
        <w:rPr>
          <w:rFonts w:ascii="Times New Roman" w:hAnsi="Times New Roman" w:eastAsia="方正小标宋简体" w:cs="Times New Roman"/>
          <w:b w:val="0"/>
          <w:bCs/>
          <w:sz w:val="36"/>
          <w:szCs w:val="36"/>
        </w:rPr>
        <w:sectPr>
          <w:pgSz w:w="11906" w:h="16838"/>
          <w:pgMar w:top="1440" w:right="1576" w:bottom="1440" w:left="1576" w:header="851" w:footer="992" w:gutter="0"/>
          <w:cols w:space="425" w:num="1"/>
          <w:docGrid w:type="lines" w:linePitch="312" w:charSpace="0"/>
        </w:sectPr>
      </w:pPr>
    </w:p>
    <w:p w14:paraId="6AA6912A">
      <w:pPr>
        <w:pStyle w:val="3"/>
        <w:keepNext w:val="0"/>
        <w:keepLines w:val="0"/>
        <w:pageBreakBefore/>
        <w:adjustRightInd w:val="0"/>
        <w:snapToGrid/>
        <w:spacing w:beforeLines="0" w:afterLines="0"/>
        <w:rPr>
          <w:rFonts w:ascii="Times New Roman" w:hAnsi="Times New Roman" w:eastAsia="方正小标宋简体" w:cs="Times New Roman"/>
          <w:b w:val="0"/>
          <w:kern w:val="2"/>
          <w:sz w:val="36"/>
          <w:szCs w:val="36"/>
        </w:rPr>
      </w:pPr>
      <w:bookmarkStart w:id="23" w:name="_Toc8502"/>
      <w:r>
        <w:rPr>
          <w:rFonts w:ascii="Times New Roman" w:hAnsi="Times New Roman" w:eastAsia="方正小标宋简体" w:cs="Times New Roman"/>
          <w:b w:val="0"/>
          <w:kern w:val="2"/>
          <w:sz w:val="36"/>
          <w:szCs w:val="36"/>
        </w:rPr>
        <w:t xml:space="preserve">第六章  推进城乡融合发展  </w:t>
      </w:r>
      <w:r>
        <w:rPr>
          <w:rFonts w:hint="eastAsia" w:ascii="Times New Roman" w:hAnsi="Times New Roman" w:eastAsia="方正小标宋简体" w:cs="Times New Roman"/>
          <w:b w:val="0"/>
          <w:kern w:val="2"/>
          <w:sz w:val="36"/>
          <w:szCs w:val="36"/>
        </w:rPr>
        <w:t>加速乡村振兴步伐</w:t>
      </w:r>
      <w:bookmarkEnd w:id="23"/>
    </w:p>
    <w:p w14:paraId="39641009">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主动适应新型城镇化的新发展要求，积极探索新型城镇化综合改革新模式，发挥油田片区资源优势，拓展城镇集约化空间，提升人口城镇化质量，突破城乡二元结构，有效推进城乡一体化发展。</w:t>
      </w:r>
    </w:p>
    <w:p w14:paraId="5E26E957">
      <w:pPr>
        <w:pStyle w:val="4"/>
        <w:keepLines w:val="0"/>
        <w:adjustRightInd w:val="0"/>
        <w:snapToGrid w:val="0"/>
        <w:spacing w:before="156" w:after="156" w:line="600" w:lineRule="exact"/>
        <w:jc w:val="center"/>
        <w:rPr>
          <w:rFonts w:eastAsia="黑体" w:cs="Times New Roman"/>
          <w:b w:val="0"/>
          <w:szCs w:val="32"/>
        </w:rPr>
      </w:pPr>
      <w:bookmarkStart w:id="24" w:name="_Toc21931"/>
      <w:r>
        <w:rPr>
          <w:rFonts w:eastAsia="黑体" w:cs="Times New Roman"/>
          <w:b w:val="0"/>
          <w:szCs w:val="32"/>
        </w:rPr>
        <w:t>第一节  实施乡村发展品质提升工程</w:t>
      </w:r>
      <w:bookmarkEnd w:id="24"/>
    </w:p>
    <w:p w14:paraId="3DCA8A71">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整治村容村貌。</w:t>
      </w:r>
      <w:r>
        <w:rPr>
          <w:rFonts w:ascii="Times New Roman" w:hAnsi="Times New Roman" w:eastAsia="仿宋_GB2312" w:cs="Times New Roman"/>
          <w:sz w:val="32"/>
          <w:szCs w:val="32"/>
        </w:rPr>
        <w:t>优化村庄路网布局，完善基础设施建设，提升硬化、绿化水平。开展村庄背街小巷硬化工程，推进农村户厕改造和村居环境整治工作。加快村庄园林化、道路林荫化建设，配建街头绿地和小公园工程。建立健全村庄保洁制度，合理配备农村保洁队伍，全面深化农村垃圾治理，清理村庄历史积存垃圾，打造良好的村容村貌。</w:t>
      </w:r>
    </w:p>
    <w:p w14:paraId="038E55C4">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加强水源管控。</w:t>
      </w:r>
      <w:r>
        <w:rPr>
          <w:rFonts w:ascii="Times New Roman" w:hAnsi="Times New Roman" w:eastAsia="仿宋_GB2312" w:cs="Times New Roman"/>
          <w:sz w:val="32"/>
          <w:szCs w:val="32"/>
        </w:rPr>
        <w:t>全面推进农村水道疏通工程以及泵站运行维护工作。推进水系连通工程，充分发挥河湖、湿地、沟渠、蓄洪洼淀等自然河湖水域滞留、集蓄、净化雨水的功能，构建河湖水系生态格局。</w:t>
      </w:r>
    </w:p>
    <w:p w14:paraId="40DFF2F7">
      <w:pPr>
        <w:spacing w:line="600" w:lineRule="exact"/>
        <w:ind w:firstLine="643" w:firstLineChars="200"/>
        <w:jc w:val="left"/>
        <w:rPr>
          <w:rFonts w:ascii="Times New Roman" w:hAnsi="Times New Roman" w:eastAsia="仿宋_GB2312" w:cs="Times New Roman"/>
        </w:rPr>
      </w:pPr>
      <w:r>
        <w:rPr>
          <w:rFonts w:ascii="Times New Roman" w:hAnsi="Times New Roman" w:eastAsia="仿宋_GB2312" w:cs="Times New Roman"/>
          <w:b/>
          <w:bCs/>
          <w:sz w:val="32"/>
          <w:szCs w:val="32"/>
        </w:rPr>
        <w:t>加强乡村文化建设。</w:t>
      </w:r>
      <w:r>
        <w:rPr>
          <w:rFonts w:ascii="Times New Roman" w:hAnsi="Times New Roman" w:eastAsia="仿宋_GB2312" w:cs="Times New Roman"/>
          <w:sz w:val="32"/>
          <w:szCs w:val="32"/>
        </w:rPr>
        <w:t>加大文化资源配置向农村倾斜，积极争取市、区两级资金，在六个村庄分别建设综合文化服务站，</w:t>
      </w:r>
      <w:r>
        <w:rPr>
          <w:rFonts w:hint="eastAsia" w:ascii="Times New Roman" w:hAnsi="Times New Roman" w:eastAsia="仿宋_GB2312" w:cs="Times New Roman"/>
          <w:sz w:val="32"/>
          <w:szCs w:val="32"/>
        </w:rPr>
        <w:t>设置独立的街镇综合文化服务中心，</w:t>
      </w:r>
      <w:r>
        <w:rPr>
          <w:rFonts w:ascii="Times New Roman" w:hAnsi="Times New Roman" w:eastAsia="仿宋_GB2312" w:cs="Times New Roman"/>
          <w:sz w:val="32"/>
          <w:szCs w:val="32"/>
        </w:rPr>
        <w:t>配备完善的软硬件基础设施。</w:t>
      </w:r>
      <w:r>
        <w:rPr>
          <w:rFonts w:hint="eastAsia" w:ascii="Times New Roman" w:hAnsi="Times New Roman" w:eastAsia="仿宋_GB2312" w:cs="Times New Roman"/>
          <w:sz w:val="32"/>
          <w:szCs w:val="32"/>
        </w:rPr>
        <w:t>结合海滨街人文资源优势，打造街镇特色文化活动品牌，培育优秀群文队伍和文化管理员队伍。</w:t>
      </w:r>
      <w:r>
        <w:rPr>
          <w:rFonts w:ascii="Times New Roman" w:hAnsi="Times New Roman" w:eastAsia="仿宋_GB2312" w:cs="Times New Roman"/>
          <w:sz w:val="32"/>
          <w:szCs w:val="32"/>
        </w:rPr>
        <w:t>提升文化产品和服务供给能力，</w:t>
      </w:r>
      <w:r>
        <w:rPr>
          <w:rFonts w:hint="eastAsia" w:ascii="Times New Roman" w:hAnsi="Times New Roman" w:eastAsia="仿宋_GB2312" w:cs="Times New Roman"/>
          <w:sz w:val="32"/>
          <w:szCs w:val="32"/>
        </w:rPr>
        <w:t>加强文化数字化、智慧化、社会化服务，</w:t>
      </w:r>
      <w:r>
        <w:rPr>
          <w:rFonts w:ascii="Times New Roman" w:hAnsi="Times New Roman" w:eastAsia="仿宋_GB2312" w:cs="Times New Roman"/>
          <w:sz w:val="32"/>
          <w:szCs w:val="32"/>
        </w:rPr>
        <w:t>打造城乡一体、网络健全、便捷高效、互联互通、保障有力的现代公共文化服务体系，持续提升乡村公共文化服务质量。</w:t>
      </w:r>
    </w:p>
    <w:p w14:paraId="079139BA">
      <w:pPr>
        <w:pStyle w:val="4"/>
        <w:keepLines w:val="0"/>
        <w:adjustRightInd w:val="0"/>
        <w:snapToGrid w:val="0"/>
        <w:spacing w:before="156" w:after="156" w:line="600" w:lineRule="exact"/>
        <w:jc w:val="center"/>
        <w:rPr>
          <w:rFonts w:eastAsia="黑体" w:cs="Times New Roman"/>
          <w:b w:val="0"/>
          <w:szCs w:val="32"/>
        </w:rPr>
      </w:pPr>
      <w:bookmarkStart w:id="25" w:name="_Toc20004"/>
      <w:r>
        <w:rPr>
          <w:rFonts w:eastAsia="黑体" w:cs="Times New Roman"/>
          <w:b w:val="0"/>
          <w:szCs w:val="32"/>
        </w:rPr>
        <w:t>第二节  实施农村城镇化推进工程</w:t>
      </w:r>
      <w:bookmarkEnd w:id="25"/>
    </w:p>
    <w:p w14:paraId="0FBBBFAD">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统筹城乡综合配套改革</w:t>
      </w:r>
      <w:r>
        <w:rPr>
          <w:rFonts w:ascii="Times New Roman" w:hAnsi="Times New Roman" w:eastAsia="仿宋_GB2312" w:cs="Times New Roman"/>
          <w:sz w:val="32"/>
          <w:szCs w:val="32"/>
        </w:rPr>
        <w:t>。坚持以城带乡、城乡融合原则，构建城乡统一的土地管理、就业管理、社会保障制度等公共服务和社会治理体系，实现保留村庄与城市社区之间城乡要素平等交换、合理配套和基本服务均等化。逐步推动农村基础设施城市化、生活服务社区化、生活方式市民化。全面推动城乡间经济融合、社会融合、文化融合及生态环境融合，不断缩小保留村与城区居民生活水平差距。</w:t>
      </w:r>
    </w:p>
    <w:p w14:paraId="31D932A5">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提高农村精细化管理水平。</w:t>
      </w:r>
      <w:r>
        <w:rPr>
          <w:rFonts w:ascii="Times New Roman" w:hAnsi="Times New Roman" w:eastAsia="仿宋_GB2312" w:cs="Times New Roman"/>
          <w:sz w:val="32"/>
          <w:szCs w:val="32"/>
        </w:rPr>
        <w:t>构建权责清晰、服务为先、管理优化、执法规范、安全有序的城乡一体化管理体系。充分利用村委会工作人员、农村志愿者组成精细化管理队伍，通过三方共管共治实现对垃圾分类、湿地保护、环境整治等工作的全覆盖，形成从发现到处置的闭环工作流程，有效提升处置效率。针对村民日常小事和细枝末节处做好精细化管理，建立由志愿者组成的“观察员”制度，定期走访农村弱势群体和老龄群体家庭，及时将发现的问题报告村委会予以解决。</w:t>
      </w:r>
    </w:p>
    <w:p w14:paraId="0B7F8DE3">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推进文明村镇建设。</w:t>
      </w:r>
      <w:r>
        <w:rPr>
          <w:rFonts w:ascii="Times New Roman" w:hAnsi="Times New Roman" w:eastAsia="仿宋_GB2312" w:cs="Times New Roman"/>
          <w:sz w:val="32"/>
          <w:szCs w:val="32"/>
        </w:rPr>
        <w:t>积极落实滨海新区“新时代文明实践中心”建设要求，推动农村文明实践所、文明实践站建设；持续开展“战疫情·微讲堂”“决胜全面小康·决战脱贫攻坚”等主题宣讲，拓展文明创建的广度和深度，加强爱国主义、集体主义、社会主义教育，实施公民道德建设工程，提升村民政治素质、道德水平和文明素养，形成崇文、厚德、向上的村镇精神风貌。</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3"/>
      </w:tblGrid>
      <w:tr w14:paraId="128F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8653" w:type="dxa"/>
            <w:vAlign w:val="center"/>
          </w:tcPr>
          <w:p w14:paraId="004FC410">
            <w:pPr>
              <w:snapToGrid w:val="0"/>
              <w:jc w:val="center"/>
              <w:rPr>
                <w:rFonts w:ascii="Times New Roman" w:hAnsi="Times New Roman" w:eastAsia="仿宋_GB2312" w:cs="Times New Roman"/>
                <w:color w:val="000000" w:themeColor="text1"/>
                <w:sz w:val="28"/>
                <w:szCs w:val="28"/>
              </w:rPr>
            </w:pPr>
            <w:r>
              <w:rPr>
                <w:rFonts w:ascii="Times New Roman" w:hAnsi="Times New Roman" w:eastAsia="方正小标宋简体" w:cs="Times New Roman"/>
                <w:bCs/>
                <w:color w:val="000000" w:themeColor="text1"/>
                <w:sz w:val="28"/>
                <w:szCs w:val="28"/>
              </w:rPr>
              <w:t>专栏4  公民文明素质培育行动</w:t>
            </w:r>
          </w:p>
        </w:tc>
      </w:tr>
      <w:tr w14:paraId="0F5D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3" w:type="dxa"/>
          </w:tcPr>
          <w:p w14:paraId="0D57E730">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道德文明培育行动。</w:t>
            </w:r>
            <w:r>
              <w:rPr>
                <w:rFonts w:ascii="Times New Roman" w:hAnsi="Times New Roman" w:eastAsia="楷体_GB2312" w:cs="Times New Roman"/>
                <w:color w:val="000000" w:themeColor="text1"/>
                <w:sz w:val="28"/>
                <w:szCs w:val="28"/>
              </w:rPr>
              <w:t>积极创建文明企业、文明社区以及文明家庭，选树宣传街区思想道德和精神文明先进典型，以道德文明建设引领街区发展新风尚。</w:t>
            </w:r>
          </w:p>
          <w:p w14:paraId="73D76952">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创新文明实践行动。</w:t>
            </w:r>
            <w:r>
              <w:rPr>
                <w:rFonts w:ascii="Times New Roman" w:hAnsi="Times New Roman" w:eastAsia="楷体_GB2312" w:cs="Times New Roman"/>
                <w:color w:val="000000" w:themeColor="text1"/>
                <w:sz w:val="28"/>
                <w:szCs w:val="28"/>
              </w:rPr>
              <w:t>拓展文明实践方式，建设社区文明实践站，搭建文明宣传志愿者资源信息库和供需服务对接平台，不断增强社区文明宣传工作力度，促进公民文明素质不断上升。</w:t>
            </w:r>
          </w:p>
          <w:p w14:paraId="15A1F5F1">
            <w:pPr>
              <w:snapToGrid w:val="0"/>
              <w:spacing w:line="324" w:lineRule="auto"/>
              <w:ind w:firstLine="562" w:firstLineChars="200"/>
              <w:rPr>
                <w:rFonts w:ascii="Times New Roman" w:hAnsi="Times New Roman" w:eastAsia="仿宋_GB2312" w:cs="Times New Roman"/>
                <w:color w:val="000000" w:themeColor="text1"/>
                <w:sz w:val="28"/>
                <w:szCs w:val="28"/>
              </w:rPr>
            </w:pPr>
            <w:r>
              <w:rPr>
                <w:rFonts w:ascii="Times New Roman" w:hAnsi="Times New Roman" w:eastAsia="STHeiti Regular" w:cs="Times New Roman"/>
                <w:b/>
                <w:bCs/>
                <w:color w:val="000000" w:themeColor="text1"/>
                <w:sz w:val="28"/>
                <w:szCs w:val="28"/>
              </w:rPr>
              <w:t>未成年人思想道德建设行动。</w:t>
            </w:r>
            <w:r>
              <w:rPr>
                <w:rFonts w:ascii="Times New Roman" w:hAnsi="Times New Roman" w:eastAsia="楷体_GB2312" w:cs="Times New Roman"/>
                <w:color w:val="000000" w:themeColor="text1"/>
                <w:sz w:val="28"/>
                <w:szCs w:val="28"/>
              </w:rPr>
              <w:t>积极组织开展法律教育、知识竞赛、志愿服务等教育实践活动，充分发挥社区、爱国主义教育基地、少年宫、图书馆等教育阵地功能，不断提升未成年人思想道德水平。</w:t>
            </w:r>
          </w:p>
        </w:tc>
      </w:tr>
    </w:tbl>
    <w:p w14:paraId="4F82C5E5">
      <w:pPr>
        <w:pStyle w:val="4"/>
        <w:keepLines w:val="0"/>
        <w:adjustRightInd w:val="0"/>
        <w:snapToGrid w:val="0"/>
        <w:spacing w:before="156" w:after="156" w:line="600" w:lineRule="exact"/>
        <w:jc w:val="center"/>
        <w:rPr>
          <w:rFonts w:eastAsia="黑体" w:cs="Times New Roman"/>
          <w:b w:val="0"/>
          <w:szCs w:val="32"/>
        </w:rPr>
      </w:pPr>
      <w:bookmarkStart w:id="26" w:name="_Toc7518"/>
      <w:r>
        <w:rPr>
          <w:rFonts w:eastAsia="黑体" w:cs="Times New Roman"/>
          <w:b w:val="0"/>
          <w:szCs w:val="32"/>
        </w:rPr>
        <w:t>第三节  实施乡村资源潜力升值工程</w:t>
      </w:r>
      <w:bookmarkEnd w:id="26"/>
    </w:p>
    <w:p w14:paraId="0DDF4D7F">
      <w:pPr>
        <w:spacing w:line="600" w:lineRule="exact"/>
        <w:ind w:firstLine="643" w:firstLineChars="200"/>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加强对保留村庄的价值挖掘。</w:t>
      </w:r>
      <w:r>
        <w:rPr>
          <w:rFonts w:ascii="Times New Roman" w:hAnsi="Times New Roman" w:eastAsia="仿宋_GB2312" w:cs="Times New Roman"/>
          <w:color w:val="000000" w:themeColor="text1"/>
          <w:sz w:val="32"/>
          <w:szCs w:val="32"/>
        </w:rPr>
        <w:t>针对沙井子村、联盟村等在产业、文化、景观、建筑等方面具有特色的村庄进行重点保护、建设和利用，坚持“原真性保护、原住式开发、原特色利用”的建设思路，优先安排特色村庄的基础设施和公共服务设施建设项目，彰显特色村落风貌，挖掘文化内涵，针对各类资源提出合理的开发利用方式，为农民建设既具有现代生活气息，又具有乡土文化根脉的幸福家园和美丽乡村。</w:t>
      </w:r>
    </w:p>
    <w:p w14:paraId="28580D94">
      <w:pPr>
        <w:spacing w:line="600" w:lineRule="exact"/>
        <w:ind w:firstLine="643" w:firstLineChars="200"/>
        <w:rPr>
          <w:rFonts w:ascii="Times New Roman" w:hAnsi="Times New Roman" w:eastAsia="仿宋_GB2312" w:cs="Times New Roman"/>
          <w:b/>
          <w:color w:val="000000" w:themeColor="text1"/>
          <w:sz w:val="32"/>
          <w:szCs w:val="32"/>
        </w:rPr>
      </w:pPr>
      <w:r>
        <w:rPr>
          <w:rFonts w:ascii="Times New Roman" w:hAnsi="Times New Roman" w:eastAsia="仿宋_GB2312" w:cs="Times New Roman"/>
          <w:b/>
          <w:bCs/>
          <w:color w:val="000000" w:themeColor="text1"/>
          <w:sz w:val="32"/>
          <w:szCs w:val="32"/>
        </w:rPr>
        <w:t>注重农村历史文化保护。</w:t>
      </w:r>
      <w:r>
        <w:rPr>
          <w:rFonts w:ascii="Times New Roman" w:hAnsi="Times New Roman" w:eastAsia="仿宋_GB2312" w:cs="Times New Roman"/>
          <w:color w:val="000000" w:themeColor="text1"/>
          <w:sz w:val="32"/>
          <w:szCs w:val="32"/>
        </w:rPr>
        <w:t>保护历史文化遗产、民族文化风格和传统风貌，促进功能提升与文物保护相结合，推进生态旅游、文化保护和新农村建设融合统一，做到统筹兼顾、因地制宜，充分体现乡土风情浓郁、设施配套适宜与环境自然优美的历史村庄风貌。</w:t>
      </w:r>
    </w:p>
    <w:p w14:paraId="21F439E4">
      <w:pPr>
        <w:spacing w:line="6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color w:val="000000" w:themeColor="text1"/>
          <w:sz w:val="32"/>
          <w:szCs w:val="32"/>
        </w:rPr>
        <w:t>推动乡村特色农业发展。</w:t>
      </w:r>
      <w:r>
        <w:rPr>
          <w:rFonts w:ascii="Times New Roman" w:hAnsi="Times New Roman" w:eastAsia="仿宋_GB2312" w:cs="Times New Roman"/>
          <w:color w:val="000000" w:themeColor="text1"/>
          <w:sz w:val="32"/>
          <w:szCs w:val="32"/>
        </w:rPr>
        <w:t>聚焦精品农业、特色农业和循环经济，建设现代化生态农业发展示范区。大力推广“海水稻”等作物，提高耕地的土地利用率；依托新希望六和集团养猪项目，发展种养一体、循环绿色、规模化特色畜牧业，构建“种植、养殖、加工、仓储、物流”融合发展的全产业链畜牧养殖集聚区。以辖区西部现代农业观光区为核心，充分利用沙井子、四季田园等既有农业设施优势，打造集观光、采摘、民俗民宿为一体，自然景观、人文景观与农业园林景观相融合的沉浸式生态农业发展试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3"/>
      </w:tblGrid>
      <w:tr w14:paraId="7D5F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653" w:type="dxa"/>
            <w:vAlign w:val="center"/>
          </w:tcPr>
          <w:p w14:paraId="2663841F">
            <w:pPr>
              <w:snapToGrid w:val="0"/>
              <w:jc w:val="center"/>
              <w:rPr>
                <w:rFonts w:ascii="Times New Roman" w:hAnsi="Times New Roman" w:eastAsia="仿宋_GB2312" w:cs="Times New Roman"/>
                <w:color w:val="000000" w:themeColor="text1"/>
                <w:sz w:val="28"/>
                <w:szCs w:val="28"/>
              </w:rPr>
            </w:pPr>
            <w:r>
              <w:rPr>
                <w:rFonts w:ascii="Times New Roman" w:hAnsi="Times New Roman" w:eastAsia="方正小标宋简体" w:cs="Times New Roman"/>
                <w:bCs/>
                <w:color w:val="000000" w:themeColor="text1"/>
                <w:sz w:val="28"/>
                <w:szCs w:val="28"/>
              </w:rPr>
              <w:t>专栏5  “海滨乡韵”历史文脉挖掘行动</w:t>
            </w:r>
          </w:p>
        </w:tc>
      </w:tr>
      <w:tr w14:paraId="1C20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3" w:type="dxa"/>
          </w:tcPr>
          <w:p w14:paraId="585B1333">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保留村历史价值挖掘。</w:t>
            </w:r>
            <w:r>
              <w:rPr>
                <w:rFonts w:ascii="Times New Roman" w:hAnsi="Times New Roman" w:eastAsia="楷体_GB2312" w:cs="Times New Roman"/>
                <w:color w:val="000000" w:themeColor="text1"/>
                <w:sz w:val="28"/>
                <w:szCs w:val="28"/>
              </w:rPr>
              <w:t>重点挖掘和利用沙井子村、联盟村等保留村在文化、景观、建筑等方面的特色历史资源，坚持“原真性保护、原住式开发、原特色利用”的建设思路，彰显特色村落历史风貌。</w:t>
            </w:r>
          </w:p>
          <w:p w14:paraId="03CE7F6A">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历史文化挖掘保护。</w:t>
            </w:r>
            <w:r>
              <w:rPr>
                <w:rFonts w:ascii="Times New Roman" w:hAnsi="Times New Roman" w:eastAsia="楷体_GB2312" w:cs="Times New Roman"/>
                <w:color w:val="000000" w:themeColor="text1"/>
                <w:sz w:val="28"/>
                <w:szCs w:val="28"/>
              </w:rPr>
              <w:t>挖掘海滨街发展原始文化，开展“退海寻踪”海滨历史文化展览；挖掘油田文化，建设油田历史文化展览馆；保护临海渔村历史文化遗产、民族文化风格和传统风貌，推进历史文化保护与生态旅游开发融合统一。</w:t>
            </w:r>
          </w:p>
          <w:p w14:paraId="31D8688E">
            <w:pPr>
              <w:snapToGrid w:val="0"/>
              <w:spacing w:line="324" w:lineRule="auto"/>
              <w:ind w:firstLine="562" w:firstLineChars="200"/>
              <w:rPr>
                <w:rFonts w:ascii="Times New Roman" w:hAnsi="Times New Roman" w:eastAsia="仿宋_GB2312" w:cs="Times New Roman"/>
                <w:color w:val="000000" w:themeColor="text1"/>
                <w:sz w:val="28"/>
                <w:szCs w:val="28"/>
              </w:rPr>
            </w:pPr>
            <w:r>
              <w:rPr>
                <w:rFonts w:ascii="Times New Roman" w:hAnsi="Times New Roman" w:eastAsia="STHeiti Regular" w:cs="Times New Roman"/>
                <w:b/>
                <w:bCs/>
                <w:color w:val="000000" w:themeColor="text1"/>
                <w:sz w:val="28"/>
                <w:szCs w:val="28"/>
              </w:rPr>
              <w:t>特色乡韵文化展示。</w:t>
            </w:r>
            <w:r>
              <w:rPr>
                <w:rFonts w:ascii="Times New Roman" w:hAnsi="Times New Roman" w:eastAsia="楷体_GB2312" w:cs="Times New Roman"/>
                <w:color w:val="000000" w:themeColor="text1"/>
                <w:sz w:val="28"/>
                <w:szCs w:val="28"/>
              </w:rPr>
              <w:t>发展现代化都市型农业，发挥沙井子村和四季田园农业设施优势，融合历史文化与休闲农业，开发集观光、采摘民俗、住宿为一体的特色乡村旅游项目。</w:t>
            </w:r>
          </w:p>
        </w:tc>
      </w:tr>
    </w:tbl>
    <w:p w14:paraId="2F810B32">
      <w:pPr>
        <w:spacing w:line="588" w:lineRule="exact"/>
        <w:ind w:firstLine="640" w:firstLineChars="200"/>
        <w:rPr>
          <w:rFonts w:ascii="Times New Roman" w:hAnsi="Times New Roman" w:eastAsia="仿宋_GB2312" w:cs="Times New Roman"/>
          <w:color w:val="000000" w:themeColor="text1"/>
          <w:sz w:val="32"/>
          <w:szCs w:val="32"/>
        </w:rPr>
      </w:pPr>
    </w:p>
    <w:p w14:paraId="224F9063">
      <w:pPr>
        <w:pStyle w:val="3"/>
        <w:adjustRightInd w:val="0"/>
        <w:spacing w:before="312" w:after="312"/>
        <w:rPr>
          <w:rFonts w:ascii="Times New Roman" w:hAnsi="Times New Roman" w:eastAsia="方正小标宋简体" w:cs="Times New Roman"/>
          <w:b w:val="0"/>
          <w:bCs/>
          <w:sz w:val="36"/>
          <w:szCs w:val="36"/>
        </w:rPr>
        <w:sectPr>
          <w:pgSz w:w="11906" w:h="16838"/>
          <w:pgMar w:top="1440" w:right="1576" w:bottom="1440" w:left="1576" w:header="851" w:footer="992" w:gutter="0"/>
          <w:cols w:space="425" w:num="1"/>
          <w:docGrid w:type="lines" w:linePitch="312" w:charSpace="0"/>
        </w:sectPr>
      </w:pPr>
    </w:p>
    <w:p w14:paraId="3B8BEF06">
      <w:pPr>
        <w:pStyle w:val="3"/>
        <w:keepNext w:val="0"/>
        <w:keepLines w:val="0"/>
        <w:pageBreakBefore/>
        <w:adjustRightInd w:val="0"/>
        <w:snapToGrid/>
        <w:spacing w:beforeLines="0" w:afterLines="0"/>
        <w:rPr>
          <w:rFonts w:ascii="Times New Roman" w:hAnsi="Times New Roman" w:eastAsia="方正小标宋简体" w:cs="Times New Roman"/>
          <w:b w:val="0"/>
          <w:kern w:val="2"/>
          <w:sz w:val="36"/>
          <w:szCs w:val="36"/>
        </w:rPr>
      </w:pPr>
      <w:bookmarkStart w:id="27" w:name="_Toc32492"/>
      <w:r>
        <w:rPr>
          <w:rFonts w:ascii="Times New Roman" w:hAnsi="Times New Roman" w:eastAsia="方正小标宋简体" w:cs="Times New Roman"/>
          <w:b w:val="0"/>
          <w:kern w:val="2"/>
          <w:sz w:val="36"/>
          <w:szCs w:val="36"/>
        </w:rPr>
        <w:t>第七章  完善基本公共服务  改善人民生活品质</w:t>
      </w:r>
      <w:bookmarkEnd w:id="27"/>
    </w:p>
    <w:p w14:paraId="2880B36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面贯彻以人民为中心的发展思想，始终把实现好、维护好、发展好人民群众根本利益作为发展的出发点和归宿，不断提升养老服务能力、扩展教育资源供给、完善医疗卫生设施建设、提高就业服务质量，增强居民的获得感、幸福感和安全感。</w:t>
      </w:r>
    </w:p>
    <w:p w14:paraId="6C0F4C2F">
      <w:pPr>
        <w:pStyle w:val="4"/>
        <w:keepLines w:val="0"/>
        <w:adjustRightInd w:val="0"/>
        <w:snapToGrid w:val="0"/>
        <w:spacing w:before="156" w:after="156" w:line="600" w:lineRule="exact"/>
        <w:jc w:val="center"/>
        <w:rPr>
          <w:rFonts w:eastAsia="黑体" w:cs="Times New Roman"/>
          <w:b w:val="0"/>
          <w:szCs w:val="32"/>
        </w:rPr>
      </w:pPr>
      <w:bookmarkStart w:id="28" w:name="_Toc25874"/>
      <w:r>
        <w:rPr>
          <w:rFonts w:eastAsia="黑体" w:cs="Times New Roman"/>
          <w:b w:val="0"/>
          <w:szCs w:val="32"/>
        </w:rPr>
        <w:t>第一节  实施内外交通循环畅通工程</w:t>
      </w:r>
      <w:bookmarkEnd w:id="28"/>
    </w:p>
    <w:p w14:paraId="1FEB6AAE">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完善外部联通道路设施。</w:t>
      </w:r>
      <w:r>
        <w:rPr>
          <w:rFonts w:ascii="Times New Roman" w:hAnsi="Times New Roman" w:eastAsia="仿宋_GB2312" w:cs="Times New Roman"/>
          <w:sz w:val="32"/>
          <w:szCs w:val="32"/>
        </w:rPr>
        <w:t>开展辖区市政道路综合整治，着力推进铁路、轨道交通及高速通道等重点项目建设。参照滨海新区总规和京沪二通道方案，落实“一高两货”铁路方案，配合滨海新区交通部门处理好铁路与相交道路、市政设施交叉关系。按照滨海新区轨道线网规划方案要求，积极做好Z4线辖区站点建设的前期准备。推进幸福路、创业路、红旗路等主干道路升级，增强辖区对外交通联系的便捷性。</w:t>
      </w:r>
    </w:p>
    <w:p w14:paraId="6CA50B67">
      <w:pPr>
        <w:spacing w:line="600" w:lineRule="exact"/>
        <w:ind w:firstLine="643" w:firstLineChars="200"/>
        <w:rPr>
          <w:rFonts w:ascii="Times New Roman" w:hAnsi="Times New Roman" w:eastAsia="黑体" w:cs="Times New Roman"/>
          <w:szCs w:val="32"/>
        </w:rPr>
      </w:pPr>
      <w:r>
        <w:rPr>
          <w:rFonts w:ascii="Times New Roman" w:hAnsi="Times New Roman" w:eastAsia="仿宋_GB2312" w:cs="Times New Roman"/>
          <w:b/>
          <w:bCs/>
          <w:sz w:val="32"/>
          <w:szCs w:val="32"/>
        </w:rPr>
        <w:t>优化内部交通设施布局。</w:t>
      </w:r>
      <w:r>
        <w:rPr>
          <w:rFonts w:ascii="Times New Roman" w:hAnsi="Times New Roman" w:eastAsia="仿宋_GB2312" w:cs="Times New Roman"/>
          <w:sz w:val="32"/>
          <w:szCs w:val="32"/>
        </w:rPr>
        <w:t>根据《滨海新区交通枢纽及场站布局专项规划》，加快建设公交停保场、公交首末站等，与市、区公交部门协调，缩短公交等候时间，增加通往滨海新区核心区、天津市区的公交路线；在学校、商圈、公园和大型公共设施周边区域，建设一批公共停车场；优化小区内部停车位设置，拓展泊车空间；在人口聚集的重点社区周边布局若干电动车充电桩，持续提升辖区居民出行体验。</w:t>
      </w:r>
    </w:p>
    <w:p w14:paraId="05C01AA4">
      <w:pPr>
        <w:pStyle w:val="4"/>
        <w:keepLines w:val="0"/>
        <w:adjustRightInd w:val="0"/>
        <w:snapToGrid w:val="0"/>
        <w:spacing w:before="156" w:after="156" w:line="600" w:lineRule="exact"/>
        <w:jc w:val="center"/>
        <w:rPr>
          <w:rFonts w:eastAsia="黑体" w:cs="Times New Roman"/>
          <w:b w:val="0"/>
          <w:szCs w:val="32"/>
        </w:rPr>
      </w:pPr>
      <w:bookmarkStart w:id="29" w:name="_Toc17350"/>
      <w:r>
        <w:rPr>
          <w:rFonts w:eastAsia="黑体" w:cs="Times New Roman"/>
          <w:b w:val="0"/>
          <w:szCs w:val="32"/>
        </w:rPr>
        <w:t>第二节  实施养老服务能力提升工程</w:t>
      </w:r>
      <w:bookmarkEnd w:id="29"/>
    </w:p>
    <w:p w14:paraId="2F76CCE6">
      <w:pPr>
        <w:spacing w:line="600" w:lineRule="exact"/>
        <w:ind w:firstLine="643" w:firstLineChars="200"/>
        <w:rPr>
          <w:rFonts w:ascii="Times New Roman" w:hAnsi="Times New Roman" w:cs="Times New Roman"/>
        </w:rPr>
      </w:pPr>
      <w:r>
        <w:rPr>
          <w:rFonts w:ascii="Times New Roman" w:hAnsi="Times New Roman" w:eastAsia="仿宋_GB2312" w:cs="Times New Roman"/>
          <w:b/>
          <w:bCs/>
          <w:sz w:val="32"/>
          <w:szCs w:val="32"/>
        </w:rPr>
        <w:t>构建多层次养老服务体系。</w:t>
      </w:r>
      <w:r>
        <w:rPr>
          <w:rFonts w:ascii="Times New Roman" w:hAnsi="Times New Roman" w:eastAsia="仿宋_GB2312" w:cs="Times New Roman"/>
          <w:sz w:val="32"/>
          <w:szCs w:val="32"/>
        </w:rPr>
        <w:t>巩固机构养老成果，强化社区居家养老，扶持家庭养老，建立多层次的养老服务体系。引导家庭养老模式由“独自照料”向“社区扶持、邻里互助、资源共享”转变。加快完善养老服务网络，建设综合为老服务中心、老年日间照料服务中心，增加日间照料中心建设数量和床位数，争取实现日间照料场所社区全覆盖</w:t>
      </w:r>
      <w:r>
        <w:rPr>
          <w:rFonts w:ascii="Times New Roman" w:hAnsi="Times New Roman" w:eastAsia="仿宋_GB2312" w:cs="Times New Roman"/>
        </w:rPr>
        <w:t>，</w:t>
      </w:r>
      <w:r>
        <w:rPr>
          <w:rFonts w:ascii="Times New Roman" w:hAnsi="Times New Roman" w:eastAsia="仿宋_GB2312" w:cs="Times New Roman"/>
          <w:sz w:val="32"/>
          <w:szCs w:val="32"/>
        </w:rPr>
        <w:t>形成覆盖街区的“15分钟为老服务圈”。</w:t>
      </w:r>
    </w:p>
    <w:p w14:paraId="7F261FA4">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加强养老服务专业化。</w:t>
      </w:r>
      <w:r>
        <w:rPr>
          <w:rFonts w:ascii="Times New Roman" w:hAnsi="Times New Roman" w:eastAsia="仿宋_GB2312" w:cs="Times New Roman"/>
          <w:sz w:val="32"/>
          <w:szCs w:val="32"/>
        </w:rPr>
        <w:t>推进老年住宅适应性改造，探索针对独居老龄人口安装居家监控摄像；推进老年食堂建设，提升老年人生活便利化水平。加快养老服务信息平台建设，设立老龄人口24小时服务平台，为失独老人和高龄独居老人提供生活照料、医疗护理、精神慰藉、紧急救援、文教体育娱乐等服务。推动医养结合服务进社区、进家庭，为老年人提供贴心医疗服务。</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583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522" w:type="dxa"/>
            <w:vAlign w:val="center"/>
          </w:tcPr>
          <w:p w14:paraId="7C78C7E0">
            <w:pPr>
              <w:snapToGrid w:val="0"/>
              <w:jc w:val="center"/>
              <w:rPr>
                <w:rFonts w:ascii="Times New Roman" w:hAnsi="Times New Roman" w:eastAsia="方正小标宋简体" w:cs="Times New Roman"/>
                <w:color w:val="000000" w:themeColor="text1"/>
                <w:sz w:val="28"/>
                <w:szCs w:val="28"/>
              </w:rPr>
            </w:pPr>
            <w:r>
              <w:rPr>
                <w:rFonts w:ascii="Times New Roman" w:hAnsi="Times New Roman" w:eastAsia="方正小标宋简体" w:cs="Times New Roman"/>
                <w:bCs/>
                <w:color w:val="000000" w:themeColor="text1"/>
                <w:sz w:val="28"/>
                <w:szCs w:val="28"/>
              </w:rPr>
              <w:t>专栏6  养老服务品质优化专项行动</w:t>
            </w:r>
          </w:p>
        </w:tc>
      </w:tr>
      <w:tr w14:paraId="1B21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408C60BE">
            <w:pPr>
              <w:snapToGrid w:val="0"/>
              <w:spacing w:line="324" w:lineRule="auto"/>
              <w:ind w:firstLine="562" w:firstLineChars="200"/>
              <w:rPr>
                <w:rFonts w:ascii="Times New Roman" w:hAnsi="Times New Roman" w:eastAsia="仿宋_GB2312" w:cs="Times New Roman"/>
                <w:color w:val="000000" w:themeColor="text1"/>
                <w:sz w:val="28"/>
                <w:szCs w:val="28"/>
              </w:rPr>
            </w:pPr>
            <w:r>
              <w:rPr>
                <w:rFonts w:ascii="Times New Roman" w:hAnsi="Times New Roman" w:eastAsia="STHeiti Regular" w:cs="Times New Roman"/>
                <w:b/>
                <w:bCs/>
                <w:color w:val="000000" w:themeColor="text1"/>
                <w:sz w:val="28"/>
                <w:szCs w:val="28"/>
              </w:rPr>
              <w:t>提升养老服务有效供给。</w:t>
            </w:r>
            <w:r>
              <w:rPr>
                <w:rFonts w:ascii="Times New Roman" w:hAnsi="Times New Roman" w:eastAsia="楷体_GB2312" w:cs="Times New Roman"/>
                <w:color w:val="000000" w:themeColor="text1"/>
                <w:sz w:val="28"/>
                <w:szCs w:val="28"/>
              </w:rPr>
              <w:t>完成</w:t>
            </w:r>
            <w:r>
              <w:rPr>
                <w:rFonts w:ascii="Times New Roman" w:hAnsi="Times New Roman" w:eastAsia="楷体_GB2312" w:cs="Times New Roman"/>
                <w:sz w:val="28"/>
                <w:szCs w:val="28"/>
              </w:rPr>
              <w:t>8</w:t>
            </w:r>
            <w:r>
              <w:rPr>
                <w:rFonts w:ascii="Times New Roman" w:hAnsi="Times New Roman" w:eastAsia="楷体_GB2312" w:cs="Times New Roman"/>
                <w:color w:val="000000" w:themeColor="text1"/>
                <w:sz w:val="28"/>
                <w:szCs w:val="28"/>
              </w:rPr>
              <w:t>个日间照料站向日间照料中心的升级，增加日间照料场所床位数量，提供老年人心理健康服务。机构、社区和居家养老相结合，开展养老技能培训，延伸养老机构服务。提供社区养老健康服务，以康复和护理服务为主，探索长期照护服务。</w:t>
            </w:r>
          </w:p>
          <w:p w14:paraId="08404B89">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加大医养结合服务力度。</w:t>
            </w:r>
            <w:r>
              <w:rPr>
                <w:rFonts w:ascii="Times New Roman" w:hAnsi="Times New Roman" w:eastAsia="楷体_GB2312" w:cs="Times New Roman"/>
                <w:color w:val="000000" w:themeColor="text1"/>
                <w:sz w:val="28"/>
                <w:szCs w:val="28"/>
              </w:rPr>
              <w:t>理顺医养结合的体制机制，优化医养结合的供需匹配，在辖区规划设置相关机构，为高龄老人入户开展健康评估和健康服务，建立健康档案。</w:t>
            </w:r>
          </w:p>
          <w:p w14:paraId="066C68AF">
            <w:pPr>
              <w:snapToGrid w:val="0"/>
              <w:spacing w:line="324" w:lineRule="auto"/>
              <w:ind w:firstLine="562" w:firstLineChars="200"/>
              <w:rPr>
                <w:rFonts w:ascii="Times New Roman" w:hAnsi="Times New Roman" w:eastAsia="仿宋_GB2312" w:cs="Times New Roman"/>
                <w:color w:val="000000" w:themeColor="text1"/>
                <w:sz w:val="28"/>
                <w:szCs w:val="28"/>
              </w:rPr>
            </w:pPr>
            <w:r>
              <w:rPr>
                <w:rFonts w:ascii="Times New Roman" w:hAnsi="Times New Roman" w:eastAsia="STHeiti Regular" w:cs="Times New Roman"/>
                <w:b/>
                <w:bCs/>
                <w:color w:val="000000" w:themeColor="text1"/>
                <w:sz w:val="28"/>
                <w:szCs w:val="28"/>
              </w:rPr>
              <w:t>落实老龄人口优待政策。</w:t>
            </w:r>
            <w:r>
              <w:rPr>
                <w:rFonts w:ascii="Times New Roman" w:hAnsi="Times New Roman" w:eastAsia="楷体_GB2312" w:cs="Times New Roman"/>
                <w:color w:val="000000" w:themeColor="text1"/>
                <w:sz w:val="28"/>
                <w:szCs w:val="28"/>
              </w:rPr>
              <w:t>积极落实居家养老补贴政策，发放高龄津贴，探索建立长期护理保险制度，鼓励社会开展敬老助老活动。</w:t>
            </w:r>
          </w:p>
        </w:tc>
      </w:tr>
    </w:tbl>
    <w:p w14:paraId="29818DD8">
      <w:pPr>
        <w:pStyle w:val="4"/>
        <w:keepLines w:val="0"/>
        <w:adjustRightInd w:val="0"/>
        <w:snapToGrid w:val="0"/>
        <w:spacing w:before="156" w:after="156" w:line="600" w:lineRule="exact"/>
        <w:jc w:val="center"/>
        <w:rPr>
          <w:rFonts w:eastAsia="黑体" w:cs="Times New Roman"/>
          <w:b w:val="0"/>
          <w:szCs w:val="32"/>
        </w:rPr>
      </w:pPr>
      <w:bookmarkStart w:id="30" w:name="_Toc14502"/>
      <w:r>
        <w:rPr>
          <w:rFonts w:eastAsia="黑体" w:cs="Times New Roman"/>
          <w:b w:val="0"/>
          <w:szCs w:val="32"/>
        </w:rPr>
        <w:t>第三节  实施教育资源供给拓展工程</w:t>
      </w:r>
      <w:bookmarkEnd w:id="30"/>
    </w:p>
    <w:p w14:paraId="65C964D3">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协同促进教育全面发展</w:t>
      </w:r>
      <w:r>
        <w:rPr>
          <w:rFonts w:ascii="Times New Roman" w:hAnsi="Times New Roman" w:eastAsia="仿宋_GB2312" w:cs="Times New Roman"/>
          <w:sz w:val="32"/>
          <w:szCs w:val="32"/>
        </w:rPr>
        <w:t>。积极参与学前教育普及普惠区和义务教育优质均衡区创建工作。积极构建街道、学校、家庭三位一体的未成年人教育网络。以常住人口为基数，增加教育资源供给，在充分挖掘现有校舍办学潜力基础上，扩展义务教育阶段中小学和幼儿园的办学规模。建设完成港西新城九年一贯制学校，优化义务教育资源，解决片区居民入学不便的问题。</w:t>
      </w:r>
    </w:p>
    <w:p w14:paraId="174DC523">
      <w:pPr>
        <w:spacing w:line="600" w:lineRule="exact"/>
        <w:ind w:firstLine="643" w:firstLineChars="200"/>
        <w:rPr>
          <w:rFonts w:ascii="Times New Roman" w:hAnsi="Times New Roman" w:eastAsia="仿宋_GB2312" w:cs="Times New Roman"/>
          <w:sz w:val="32"/>
          <w:szCs w:val="32"/>
          <w:highlight w:val="yellow"/>
        </w:rPr>
      </w:pPr>
      <w:r>
        <w:rPr>
          <w:rFonts w:ascii="Times New Roman" w:hAnsi="Times New Roman" w:eastAsia="仿宋_GB2312" w:cs="Times New Roman"/>
          <w:b/>
          <w:bCs/>
          <w:sz w:val="32"/>
          <w:szCs w:val="32"/>
        </w:rPr>
        <w:t>提升基础教育办学质量。</w:t>
      </w:r>
      <w:r>
        <w:rPr>
          <w:rFonts w:ascii="Times New Roman" w:hAnsi="Times New Roman" w:eastAsia="仿宋_GB2312" w:cs="Times New Roman"/>
          <w:sz w:val="32"/>
          <w:szCs w:val="32"/>
        </w:rPr>
        <w:t>以推进集团化办学为抓手，创新办学机制，依托全市和滨海新区优质教育资源，推动市级、区级重点中小学在辖区建立分校，推进整体办学质量提升。落实教育领域综合改革，强化智慧教育发展，推动实施数字化校园、“微课”平台等新举措，促进信息技术与教育教学深度融合，建立开放灵活的教育资源公共服务平台，打造精品教育品牌。</w:t>
      </w:r>
    </w:p>
    <w:p w14:paraId="18B751B9">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开发社区教育资源</w:t>
      </w:r>
      <w:r>
        <w:rPr>
          <w:rFonts w:ascii="Times New Roman" w:hAnsi="Times New Roman" w:eastAsia="仿宋_GB2312" w:cs="Times New Roman"/>
          <w:sz w:val="32"/>
          <w:szCs w:val="32"/>
        </w:rPr>
        <w:t>。充分发挥社区基层组织功能，依托社区服务中心搭建社区教育服务平台，建设一批老年学习中心，增加学习型社区组织和学习型家庭，引导社区居民（村民）自发组建形式多样的学习团队、活动小组等学习共同体，组织开展公民素养、诚信教育、人文艺术、职业技能、早期教育、运动健身、养生保健、生活休闲等教育活动，促进社区居民整体素质不断提高。</w:t>
      </w:r>
    </w:p>
    <w:p w14:paraId="3F102B14">
      <w:pPr>
        <w:pStyle w:val="4"/>
        <w:keepLines w:val="0"/>
        <w:adjustRightInd w:val="0"/>
        <w:snapToGrid w:val="0"/>
        <w:spacing w:before="156" w:after="156" w:line="600" w:lineRule="exact"/>
        <w:jc w:val="center"/>
        <w:rPr>
          <w:rFonts w:eastAsia="黑体" w:cs="Times New Roman"/>
          <w:b w:val="0"/>
          <w:szCs w:val="32"/>
        </w:rPr>
      </w:pPr>
      <w:bookmarkStart w:id="31" w:name="_Toc6592"/>
      <w:r>
        <w:rPr>
          <w:rFonts w:eastAsia="黑体" w:cs="Times New Roman"/>
          <w:b w:val="0"/>
          <w:szCs w:val="32"/>
        </w:rPr>
        <w:t>第四节  实施医疗卫生设施优化工程</w:t>
      </w:r>
      <w:bookmarkEnd w:id="31"/>
    </w:p>
    <w:p w14:paraId="23EF3DA4">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优化医疗卫生基础设施配置。</w:t>
      </w:r>
      <w:r>
        <w:rPr>
          <w:rFonts w:ascii="Times New Roman" w:hAnsi="Times New Roman" w:eastAsia="仿宋_GB2312" w:cs="Times New Roman"/>
          <w:sz w:val="32"/>
          <w:szCs w:val="32"/>
        </w:rPr>
        <w:t>依据滨海新区“一核两翼”发展规划，有效落实医疗卫生服务设施建设部署，树立“大卫生、大健康”理念，合理部署医疗卫生资源，强化社区医院和卫生服务站功能，确保在卫生服务中心安排全职医务人员，提升医疗卫生设施质量，并鼓励社会办高端医疗机构，满足居民多层次医疗服务需求。</w:t>
      </w:r>
    </w:p>
    <w:p w14:paraId="2E3350C4">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提升基础医疗卫生服务能力</w:t>
      </w:r>
      <w:r>
        <w:rPr>
          <w:rFonts w:ascii="Times New Roman" w:hAnsi="Times New Roman" w:eastAsia="仿宋_GB2312" w:cs="Times New Roman"/>
          <w:sz w:val="32"/>
          <w:szCs w:val="32"/>
        </w:rPr>
        <w:t>。积极参与滨海新区互联网医疗建设，加强与区卫生部门协调，依托新区高技术企业众多优势，建立综合社区卫生服务网络平台，提升社区和自然村卫生信息化水平，提高健康医疗服务质量和效率，降低医疗服务成本，更好地满足群众需求。按照滨海新区总体部署，加快推行家庭医生签约模式，争取实现家庭医生签约城乡全覆盖。建立社区医疗卫生人员定期参与全市及滨海新区相关培训活动机制，提高基层医疗卫生队伍素质，提升基层医疗卫生服务能力。推动医药卫生体制改革向纵深发展，让患者享受到更安全、更便利、更优质的诊疗服务。</w:t>
      </w:r>
    </w:p>
    <w:p w14:paraId="0E763310">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加强“大健康”理念宣传引导。</w:t>
      </w:r>
      <w:r>
        <w:rPr>
          <w:rFonts w:ascii="Times New Roman" w:hAnsi="Times New Roman" w:eastAsia="仿宋_GB2312" w:cs="Times New Roman"/>
          <w:sz w:val="32"/>
          <w:szCs w:val="32"/>
        </w:rPr>
        <w:t>开展全民健康生活方式行动，做好以增强人民健康素质为核心的健康教育与健康促进工作。充分利用滨海新区全民健康信息平台，建立健康知识和技能信息发布制度，广泛宣传健康教育知识和疾病防控知识，推进健康教育进企业、进社区、进农村，引导群众掌握保持健康的知识和技能，提升群众科学防病能力。</w:t>
      </w:r>
    </w:p>
    <w:p w14:paraId="2A8E8F03">
      <w:pPr>
        <w:pStyle w:val="4"/>
        <w:keepLines w:val="0"/>
        <w:adjustRightInd w:val="0"/>
        <w:snapToGrid w:val="0"/>
        <w:spacing w:before="156" w:after="156" w:line="600" w:lineRule="exact"/>
        <w:jc w:val="center"/>
        <w:rPr>
          <w:rFonts w:eastAsia="黑体" w:cs="Times New Roman"/>
          <w:b w:val="0"/>
          <w:szCs w:val="32"/>
        </w:rPr>
      </w:pPr>
      <w:bookmarkStart w:id="32" w:name="_Toc7990"/>
      <w:r>
        <w:rPr>
          <w:rFonts w:eastAsia="黑体" w:cs="Times New Roman"/>
          <w:b w:val="0"/>
          <w:szCs w:val="32"/>
        </w:rPr>
        <w:t>第五节  实施就业服务质量提升工程</w:t>
      </w:r>
      <w:bookmarkEnd w:id="32"/>
    </w:p>
    <w:p w14:paraId="4773B7E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强化重点群体就业创业帮扶。</w:t>
      </w:r>
      <w:r>
        <w:rPr>
          <w:rFonts w:ascii="Times New Roman" w:hAnsi="Times New Roman" w:eastAsia="仿宋_GB2312" w:cs="Times New Roman"/>
          <w:sz w:val="32"/>
          <w:szCs w:val="32"/>
        </w:rPr>
        <w:t>聚焦高校毕业生、农村转移劳动力、军队退役人员、就业困难人员等重点就业帮扶群体，因人施策、多措并举，打造适应产业转型和发展需要、满足各类劳动者就业需求的职业培训体系，大力开发社区服务等公益性岗位，解决农村富余人口、残疾人、零就业家庭成员的就业问题。</w:t>
      </w:r>
    </w:p>
    <w:p w14:paraId="3C8DA908">
      <w:pPr>
        <w:spacing w:line="600" w:lineRule="exact"/>
        <w:ind w:firstLine="643" w:firstLineChars="200"/>
        <w:rPr>
          <w:rFonts w:ascii="Times New Roman" w:hAnsi="Times New Roman" w:cs="Times New Roman"/>
        </w:rPr>
      </w:pPr>
      <w:r>
        <w:rPr>
          <w:rFonts w:ascii="Times New Roman" w:hAnsi="Times New Roman" w:eastAsia="仿宋_GB2312" w:cs="Times New Roman"/>
          <w:b/>
          <w:bCs/>
          <w:sz w:val="32"/>
          <w:szCs w:val="32"/>
        </w:rPr>
        <w:t>完善就业服务保障机制。</w:t>
      </w:r>
      <w:r>
        <w:rPr>
          <w:rFonts w:ascii="Times New Roman" w:hAnsi="Times New Roman" w:eastAsia="仿宋_GB2312" w:cs="Times New Roman"/>
          <w:sz w:val="32"/>
          <w:szCs w:val="32"/>
        </w:rPr>
        <w:t>千方百计稳定和扩大就业，坚持经济发展就业导向，提升就业容量和质量，切实保障劳动者待遇和权益。围绕大港油田组团建设，积极吸纳本地劳动力往特色石化产业就业。建立重点企业用工情况报告制度，做好失业动态监测工作，定期发布公共就业服务形势分析及人力资源市场供求信息，促进辖区实现充分就业。完善产业园区公共服务配套，提升产业园区人口聚集能力，推动产城融合、职住平衡，持续导入人口，促进人口快速增长。</w:t>
      </w:r>
    </w:p>
    <w:p w14:paraId="3E21467C">
      <w:pPr>
        <w:pStyle w:val="4"/>
        <w:keepLines w:val="0"/>
        <w:adjustRightInd w:val="0"/>
        <w:snapToGrid w:val="0"/>
        <w:spacing w:before="156" w:after="156" w:line="600" w:lineRule="exact"/>
        <w:jc w:val="center"/>
        <w:rPr>
          <w:rFonts w:eastAsia="黑体" w:cs="Times New Roman"/>
          <w:b w:val="0"/>
          <w:szCs w:val="32"/>
        </w:rPr>
      </w:pPr>
      <w:bookmarkStart w:id="33" w:name="_Toc7350"/>
      <w:r>
        <w:rPr>
          <w:rFonts w:eastAsia="黑体" w:cs="Times New Roman"/>
          <w:b w:val="0"/>
          <w:szCs w:val="32"/>
        </w:rPr>
        <w:t>第六节  实施居民生活设施提升工程</w:t>
      </w:r>
      <w:bookmarkEnd w:id="33"/>
    </w:p>
    <w:p w14:paraId="6A51A7B5">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加快“旧改”工作步伐。</w:t>
      </w:r>
      <w:r>
        <w:rPr>
          <w:rFonts w:ascii="Times New Roman" w:hAnsi="Times New Roman" w:eastAsia="仿宋_GB2312" w:cs="Times New Roman"/>
          <w:sz w:val="32"/>
          <w:szCs w:val="32"/>
        </w:rPr>
        <w:t>以改善群众居住条件作为旧区改造的根本目标，加强与滨海新区市政部门对接，启动辖区35个老旧社区升级改造工程，实现全街“旧改”工作全面覆盖。加快平房和旧楼区改造，引入具备实力的房地产企业，推进房地产开发和社区物业管理；逐步有序开展20年以上房龄的老旧房屋维修工作，使群众居住条件得到明显改善。</w:t>
      </w:r>
    </w:p>
    <w:p w14:paraId="5A4FBFFF">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加强文体设施建设。</w:t>
      </w:r>
      <w:r>
        <w:rPr>
          <w:rFonts w:ascii="Times New Roman" w:hAnsi="Times New Roman" w:eastAsia="仿宋_GB2312" w:cs="Times New Roman"/>
          <w:sz w:val="32"/>
          <w:szCs w:val="32"/>
        </w:rPr>
        <w:t>严格落实《天津市公共体育设施布局规划（2019-2035）》，按照滨海新区国家公共文化服务体系示范区建设要求，加快推动文化场馆、体育场馆、博物馆、美术馆的建设。推进“15分钟健身圈”建设和社区“健身生活化”，提升小区内文体设施、健康步道和休憩区域的品质和功能。与油田企业加强沟通，通过改造提升等方式，积极盘活油田企业文体设施资源，加快老旧设施的更新换代，完善周边商业、绿化等配套设施建设，为广大市民群众提供更加舒适的文体生活环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F4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522" w:type="dxa"/>
            <w:vAlign w:val="center"/>
          </w:tcPr>
          <w:p w14:paraId="76033602">
            <w:pPr>
              <w:snapToGrid w:val="0"/>
              <w:jc w:val="center"/>
              <w:rPr>
                <w:rFonts w:ascii="Times New Roman" w:hAnsi="Times New Roman" w:eastAsia="仿宋_GB2312" w:cs="Times New Roman"/>
                <w:color w:val="000000" w:themeColor="text1"/>
                <w:sz w:val="28"/>
                <w:szCs w:val="28"/>
              </w:rPr>
            </w:pPr>
            <w:r>
              <w:rPr>
                <w:rFonts w:ascii="Times New Roman" w:hAnsi="Times New Roman" w:eastAsia="方正小标宋简体" w:cs="Times New Roman"/>
                <w:bCs/>
                <w:color w:val="000000" w:themeColor="text1"/>
                <w:sz w:val="28"/>
                <w:szCs w:val="28"/>
              </w:rPr>
              <w:t>专栏7  文体点亮幸福生活专项行动</w:t>
            </w:r>
          </w:p>
        </w:tc>
      </w:tr>
      <w:tr w14:paraId="7D36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67A4B037">
            <w:pPr>
              <w:snapToGrid w:val="0"/>
              <w:spacing w:line="324" w:lineRule="auto"/>
              <w:rPr>
                <w:rFonts w:ascii="Times New Roman" w:hAnsi="Times New Roman" w:cs="Times New Roman"/>
              </w:rPr>
            </w:pPr>
          </w:p>
          <w:p w14:paraId="1F642135">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文体基础设施建设项目。</w:t>
            </w:r>
            <w:r>
              <w:rPr>
                <w:rFonts w:ascii="Times New Roman" w:hAnsi="Times New Roman" w:eastAsia="楷体_GB2312" w:cs="Times New Roman"/>
                <w:color w:val="000000" w:themeColor="text1"/>
                <w:sz w:val="28"/>
                <w:szCs w:val="28"/>
              </w:rPr>
              <w:t>建设社区图书角和企事业单位图书室，加快推动街区文化馆、体育馆、博物馆、美术馆等的建设。加快盘活油田企业已有文体设施资源，实现老旧设施的更新换代。</w:t>
            </w:r>
          </w:p>
          <w:p w14:paraId="4CFC12E0">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文体特色活动项目。</w:t>
            </w:r>
            <w:r>
              <w:rPr>
                <w:rFonts w:ascii="Times New Roman" w:hAnsi="Times New Roman" w:eastAsia="楷体_GB2312" w:cs="Times New Roman"/>
                <w:color w:val="000000" w:themeColor="text1"/>
                <w:sz w:val="28"/>
                <w:szCs w:val="28"/>
              </w:rPr>
              <w:t>举办“海滨街油田文化节”“海滨文化大讲堂”等特色文化活动。积极开展城乡群众健身运动，在全民健身日举办“海滨街体育节”“油田职工体育节”等。</w:t>
            </w:r>
          </w:p>
          <w:p w14:paraId="2C6DA1E3">
            <w:pPr>
              <w:snapToGrid w:val="0"/>
              <w:spacing w:line="324" w:lineRule="auto"/>
              <w:ind w:firstLine="562" w:firstLineChars="200"/>
              <w:rPr>
                <w:rFonts w:ascii="Times New Roman" w:hAnsi="Times New Roman" w:cs="Times New Roman"/>
              </w:rPr>
            </w:pPr>
            <w:r>
              <w:rPr>
                <w:rFonts w:ascii="Times New Roman" w:hAnsi="Times New Roman" w:eastAsia="STHeiti Regular" w:cs="Times New Roman"/>
                <w:b/>
                <w:bCs/>
                <w:color w:val="000000" w:themeColor="text1"/>
                <w:sz w:val="28"/>
                <w:szCs w:val="28"/>
              </w:rPr>
              <w:t>文体“互联网+”项目。</w:t>
            </w:r>
            <w:r>
              <w:rPr>
                <w:rFonts w:ascii="Times New Roman" w:hAnsi="Times New Roman" w:eastAsia="楷体_GB2312" w:cs="Times New Roman"/>
                <w:color w:val="000000" w:themeColor="text1"/>
                <w:sz w:val="28"/>
                <w:szCs w:val="28"/>
              </w:rPr>
              <w:t>链接优质资源，建设海滨街数字图书馆、数字文化馆、数字博物馆等，让街区群众通过网络资源享受文化熏陶。开办数字健康大讲堂，通过网络普及慢性病预防、体育健身和文明生活方式等知识。</w:t>
            </w:r>
          </w:p>
        </w:tc>
      </w:tr>
    </w:tbl>
    <w:p w14:paraId="1023661B">
      <w:pPr>
        <w:pStyle w:val="3"/>
        <w:adjustRightInd w:val="0"/>
        <w:spacing w:before="312" w:after="312"/>
        <w:rPr>
          <w:rFonts w:ascii="Times New Roman" w:hAnsi="Times New Roman" w:eastAsia="方正小标宋简体" w:cs="Times New Roman"/>
          <w:b w:val="0"/>
          <w:bCs/>
          <w:sz w:val="36"/>
          <w:szCs w:val="36"/>
        </w:rPr>
        <w:sectPr>
          <w:pgSz w:w="11906" w:h="16838"/>
          <w:pgMar w:top="1440" w:right="1576" w:bottom="1440" w:left="1576" w:header="851" w:footer="992" w:gutter="0"/>
          <w:cols w:space="425" w:num="1"/>
          <w:docGrid w:type="lines" w:linePitch="312" w:charSpace="0"/>
        </w:sectPr>
      </w:pPr>
    </w:p>
    <w:p w14:paraId="37DF2439">
      <w:pPr>
        <w:pStyle w:val="3"/>
        <w:keepNext w:val="0"/>
        <w:keepLines w:val="0"/>
        <w:pageBreakBefore/>
        <w:adjustRightInd w:val="0"/>
        <w:snapToGrid/>
        <w:spacing w:beforeLines="0" w:afterLines="0"/>
        <w:rPr>
          <w:rFonts w:ascii="Times New Roman" w:hAnsi="Times New Roman" w:eastAsia="方正小标宋简体" w:cs="Times New Roman"/>
          <w:b w:val="0"/>
          <w:kern w:val="2"/>
          <w:sz w:val="36"/>
          <w:szCs w:val="36"/>
        </w:rPr>
      </w:pPr>
      <w:bookmarkStart w:id="34" w:name="_Toc8702"/>
      <w:r>
        <w:rPr>
          <w:rFonts w:ascii="Times New Roman" w:hAnsi="Times New Roman" w:eastAsia="方正小标宋简体" w:cs="Times New Roman"/>
          <w:b w:val="0"/>
          <w:kern w:val="2"/>
          <w:sz w:val="36"/>
          <w:szCs w:val="36"/>
        </w:rPr>
        <w:t>第八章  创新街区社会治理  实现共建共治共享</w:t>
      </w:r>
      <w:bookmarkEnd w:id="34"/>
    </w:p>
    <w:p w14:paraId="42D0229C">
      <w:pPr>
        <w:pStyle w:val="13"/>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坚持人民至上、生命至上，把安全发展贯穿街区发展各领域和全过程，把共同缔造理念融入社会治理各方面，完善共建共治共享的社会治理格局，不断提高街区治理现代化水平，确保人民安居乐业、社会安定有序。</w:t>
      </w:r>
    </w:p>
    <w:p w14:paraId="28C8E6EB">
      <w:pPr>
        <w:pStyle w:val="4"/>
        <w:keepLines w:val="0"/>
        <w:adjustRightInd w:val="0"/>
        <w:snapToGrid w:val="0"/>
        <w:spacing w:before="156" w:after="156" w:line="600" w:lineRule="exact"/>
        <w:jc w:val="center"/>
        <w:rPr>
          <w:rFonts w:eastAsia="黑体" w:cs="Times New Roman"/>
          <w:b w:val="0"/>
          <w:szCs w:val="32"/>
        </w:rPr>
      </w:pPr>
      <w:bookmarkStart w:id="35" w:name="_Toc25218"/>
      <w:r>
        <w:rPr>
          <w:rFonts w:eastAsia="黑体" w:cs="Times New Roman"/>
          <w:b w:val="0"/>
          <w:szCs w:val="32"/>
        </w:rPr>
        <w:t>第一节  实施社会共建共治共享工程</w:t>
      </w:r>
      <w:bookmarkEnd w:id="35"/>
    </w:p>
    <w:p w14:paraId="4C308444">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提升社区治理效能。</w:t>
      </w:r>
      <w:r>
        <w:rPr>
          <w:rFonts w:ascii="Times New Roman" w:hAnsi="Times New Roman" w:eastAsia="仿宋_GB2312" w:cs="Times New Roman"/>
          <w:sz w:val="32"/>
          <w:szCs w:val="32"/>
        </w:rPr>
        <w:t>强化城乡社区自治和服务功能，</w:t>
      </w:r>
      <w:r>
        <w:rPr>
          <w:rFonts w:ascii="Times New Roman" w:hAnsi="Times New Roman" w:eastAsia="仿宋_GB2312" w:cs="Times New Roman"/>
          <w:kern w:val="0"/>
          <w:sz w:val="32"/>
          <w:szCs w:val="32"/>
        </w:rPr>
        <w:t>加强人口综合服务和管理，</w:t>
      </w:r>
      <w:r>
        <w:rPr>
          <w:rFonts w:ascii="Times New Roman" w:hAnsi="Times New Roman" w:eastAsia="仿宋_GB2312" w:cs="Times New Roman"/>
          <w:sz w:val="32"/>
          <w:szCs w:val="32"/>
        </w:rPr>
        <w:t>引导群众通过多种方式参与社区治理，发挥自我管理、自我服务、自我展示、自我教育功能，全面推动社区精细化治理；</w:t>
      </w:r>
      <w:r>
        <w:rPr>
          <w:rFonts w:ascii="Times New Roman" w:hAnsi="Times New Roman" w:eastAsia="仿宋_GB2312" w:cs="Times New Roman"/>
          <w:kern w:val="0"/>
          <w:sz w:val="32"/>
          <w:szCs w:val="32"/>
        </w:rPr>
        <w:t>加快构建社区公共服务、社区便民服务、社区志愿服务相衔接的社区服务体系，</w:t>
      </w:r>
      <w:r>
        <w:rPr>
          <w:rFonts w:ascii="Times New Roman" w:hAnsi="Times New Roman" w:eastAsia="仿宋_GB2312" w:cs="Times New Roman"/>
          <w:sz w:val="32"/>
          <w:szCs w:val="32"/>
        </w:rPr>
        <w:t>树立“社区和谐人人有责，和谐社区人人共享”的创建理念，形成既充满活力又和谐稳定的社会服务与治理新格局。</w:t>
      </w:r>
    </w:p>
    <w:p w14:paraId="426EE9A0">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拓展公众参与平安创建渠道</w:t>
      </w:r>
      <w:r>
        <w:rPr>
          <w:rFonts w:ascii="Times New Roman" w:hAnsi="Times New Roman" w:eastAsia="仿宋_GB2312" w:cs="Times New Roman"/>
          <w:sz w:val="32"/>
          <w:szCs w:val="32"/>
        </w:rPr>
        <w:t>。完善群防群治社会动员机制，健全公众参与平安志愿服务的常态长效机制，全面提升基层平安创建工作水平。以基层平安创建为重点，以落实推进年度社会治安综合治理重点工作为抓手，深入开展平安创建活动。</w:t>
      </w:r>
    </w:p>
    <w:p w14:paraId="75F08B88">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提高信息化建设水平。</w:t>
      </w:r>
      <w:r>
        <w:rPr>
          <w:rFonts w:ascii="Times New Roman" w:hAnsi="Times New Roman" w:eastAsia="仿宋_GB2312" w:cs="Times New Roman"/>
          <w:sz w:val="32"/>
          <w:szCs w:val="32"/>
        </w:rPr>
        <w:t>充分运用信息化管理技术助推平安建设发展，积极推广“雪亮工程”，推动社区智慧化管理，在北苑小区试点的基础上，实现社区全覆盖。实现村庄“平安智慧社区”与“雪亮工程”之间的信息共享，促进数据开放应用高效化、大数据汇聚整合集约化。以信息化推进社会安全管理现代化，提高监测预警能力、监管执法能力、辅助指挥决策能力、救援实战能力和社会动员能力。</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0"/>
      </w:tblGrid>
      <w:tr w14:paraId="3AFE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480" w:type="dxa"/>
          </w:tcPr>
          <w:p w14:paraId="10FDFCA0">
            <w:pPr>
              <w:pStyle w:val="13"/>
              <w:adjustRightInd w:val="0"/>
              <w:snapToGrid w:val="0"/>
              <w:spacing w:beforeLines="50" w:afterLines="50"/>
              <w:ind w:firstLine="0" w:firstLineChars="0"/>
              <w:jc w:val="center"/>
              <w:rPr>
                <w:rFonts w:ascii="Times New Roman" w:hAnsi="Times New Roman" w:cs="Times New Roman"/>
              </w:rPr>
            </w:pPr>
            <w:r>
              <w:rPr>
                <w:rFonts w:ascii="Times New Roman" w:hAnsi="Times New Roman" w:eastAsia="方正小标宋简体" w:cs="Times New Roman"/>
                <w:bCs/>
                <w:color w:val="000000" w:themeColor="text1"/>
                <w:sz w:val="28"/>
                <w:szCs w:val="28"/>
              </w:rPr>
              <w:t>专栏8  智慧社区建设专项行动</w:t>
            </w:r>
          </w:p>
        </w:tc>
      </w:tr>
      <w:tr w14:paraId="505A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0" w:type="dxa"/>
          </w:tcPr>
          <w:p w14:paraId="66C1C3D9">
            <w:pPr>
              <w:snapToGrid w:val="0"/>
              <w:spacing w:line="324" w:lineRule="auto"/>
              <w:ind w:firstLine="560" w:firstLineChars="200"/>
              <w:rPr>
                <w:rFonts w:ascii="Times New Roman" w:hAnsi="Times New Roman" w:eastAsia="楷体_GB2312" w:cs="Times New Roman"/>
                <w:color w:val="000000" w:themeColor="text1"/>
                <w:sz w:val="28"/>
                <w:szCs w:val="28"/>
              </w:rPr>
            </w:pPr>
            <w:r>
              <w:rPr>
                <w:rFonts w:ascii="Times New Roman" w:hAnsi="Times New Roman" w:eastAsia="楷体_GB2312" w:cs="Times New Roman"/>
                <w:color w:val="000000" w:themeColor="text1"/>
                <w:sz w:val="28"/>
                <w:szCs w:val="28"/>
              </w:rPr>
              <w:t>综合运用智能化技术，以北苑小区等为试点，高起点规划，新概念构架，打造面向民生改善，服务社区管理，满足城乡居民多层次需求的全功能、绿色生态的现代化、智能化社会生活共同体。</w:t>
            </w:r>
          </w:p>
          <w:p w14:paraId="256E3758">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推动社区在线服务。</w:t>
            </w:r>
            <w:r>
              <w:rPr>
                <w:rFonts w:ascii="Times New Roman" w:hAnsi="Times New Roman" w:eastAsia="楷体_GB2312" w:cs="Times New Roman"/>
                <w:color w:val="000000" w:themeColor="text1"/>
                <w:sz w:val="28"/>
                <w:szCs w:val="28"/>
              </w:rPr>
              <w:t>加快在线服务社区全覆盖，确保居民可以通过手机APP、微信公众号、网站、智能终端等接受各类服务信息，办理业务，享受服务。</w:t>
            </w:r>
          </w:p>
          <w:p w14:paraId="12A119F3">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社区数字化管理。</w:t>
            </w:r>
            <w:r>
              <w:rPr>
                <w:rFonts w:ascii="Times New Roman" w:hAnsi="Times New Roman" w:eastAsia="楷体_GB2312" w:cs="Times New Roman"/>
                <w:color w:val="000000" w:themeColor="text1"/>
                <w:sz w:val="28"/>
                <w:szCs w:val="28"/>
              </w:rPr>
              <w:t>搭建多部门业务统一社区管理平台，运用跨系统数据重构中间过程，将服务内容延伸到党建管理、综合治理、政绩民生等领域，通过信息交互、资源共享、业务协同等实现社区治理智能化。</w:t>
            </w:r>
          </w:p>
          <w:p w14:paraId="56DBBDE7">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打造多功能智能化社区。</w:t>
            </w:r>
            <w:r>
              <w:rPr>
                <w:rFonts w:ascii="Times New Roman" w:hAnsi="Times New Roman" w:eastAsia="楷体_GB2312" w:cs="Times New Roman"/>
                <w:color w:val="000000" w:themeColor="text1"/>
                <w:sz w:val="28"/>
                <w:szCs w:val="28"/>
              </w:rPr>
              <w:t>在社区层面配备可视化对讲、人脸识别、车辆识别、智能停车等智能化设备及应用技术，保障居民生活便捷和环境安全。通过智能化设备接入政务服务平台，推动形成社区物联网脉络，完善安全隐患防范机制。</w:t>
            </w:r>
          </w:p>
          <w:p w14:paraId="244548E2">
            <w:pPr>
              <w:snapToGrid w:val="0"/>
              <w:spacing w:line="324" w:lineRule="auto"/>
              <w:ind w:firstLine="562" w:firstLineChars="200"/>
              <w:rPr>
                <w:rFonts w:ascii="Times New Roman" w:hAnsi="Times New Roman" w:cs="Times New Roman"/>
              </w:rPr>
            </w:pPr>
            <w:r>
              <w:rPr>
                <w:rFonts w:ascii="Times New Roman" w:hAnsi="Times New Roman" w:eastAsia="STHeiti Regular" w:cs="Times New Roman"/>
                <w:b/>
                <w:bCs/>
                <w:color w:val="000000" w:themeColor="text1"/>
                <w:sz w:val="28"/>
                <w:szCs w:val="28"/>
              </w:rPr>
              <w:t>实现智慧养老。</w:t>
            </w:r>
            <w:r>
              <w:rPr>
                <w:rFonts w:ascii="Times New Roman" w:hAnsi="Times New Roman" w:eastAsia="楷体_GB2312" w:cs="Times New Roman"/>
                <w:color w:val="000000" w:themeColor="text1"/>
                <w:sz w:val="28"/>
                <w:szCs w:val="28"/>
              </w:rPr>
              <w:t>以社区为核心单元，整合社会资源与服务力量，推动养老机构专业化服务延伸到家庭个体，统一管理居家老人的各类服务需求，运用智能技术进行统筹调度，提升服务效率，缓解资源配置不均衡的问题。</w:t>
            </w:r>
          </w:p>
        </w:tc>
      </w:tr>
    </w:tbl>
    <w:p w14:paraId="6CA9E540">
      <w:pPr>
        <w:pStyle w:val="4"/>
        <w:keepLines w:val="0"/>
        <w:adjustRightInd w:val="0"/>
        <w:snapToGrid w:val="0"/>
        <w:spacing w:before="156" w:after="156" w:line="600" w:lineRule="exact"/>
        <w:jc w:val="center"/>
        <w:rPr>
          <w:rFonts w:eastAsia="黑体" w:cs="Times New Roman"/>
          <w:b w:val="0"/>
          <w:szCs w:val="32"/>
        </w:rPr>
      </w:pPr>
      <w:bookmarkStart w:id="36" w:name="_Toc4818"/>
      <w:r>
        <w:rPr>
          <w:rFonts w:eastAsia="黑体" w:cs="Times New Roman"/>
          <w:b w:val="0"/>
          <w:szCs w:val="32"/>
        </w:rPr>
        <w:t>第二节  实施法治海滨提质工程</w:t>
      </w:r>
      <w:bookmarkEnd w:id="36"/>
    </w:p>
    <w:p w14:paraId="239C596B">
      <w:pPr>
        <w:spacing w:line="600" w:lineRule="exact"/>
        <w:ind w:firstLine="643" w:firstLineChars="200"/>
        <w:rPr>
          <w:rFonts w:ascii="Times New Roman" w:hAnsi="Times New Roman" w:cs="Times New Roman"/>
        </w:rPr>
      </w:pPr>
      <w:r>
        <w:rPr>
          <w:rFonts w:ascii="Times New Roman" w:hAnsi="Times New Roman" w:eastAsia="仿宋_GB2312" w:cs="Times New Roman"/>
          <w:b/>
          <w:bCs/>
          <w:sz w:val="32"/>
          <w:szCs w:val="32"/>
        </w:rPr>
        <w:t>推进落实“谁执法谁普法”普法责任制。</w:t>
      </w:r>
      <w:r>
        <w:rPr>
          <w:rFonts w:ascii="Times New Roman" w:hAnsi="Times New Roman" w:eastAsia="仿宋_GB2312" w:cs="Times New Roman"/>
          <w:sz w:val="32"/>
          <w:szCs w:val="32"/>
        </w:rPr>
        <w:t>落实党政主要负责人履行推进法治建设第一责任人职责规定，落实新区法治政府建设要求，推动严格规范公正文明执法，提升执法效能和规范化水平。完善街道专职法制审核机构和岗位设置。坚持依法执政、依法行政共同推进。立足辖区实际，有重点、有步骤、有秩序地推进法治建设。</w:t>
      </w:r>
    </w:p>
    <w:p w14:paraId="59382BDA">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加强法治宣传教育。</w:t>
      </w:r>
      <w:r>
        <w:rPr>
          <w:rFonts w:ascii="Times New Roman" w:hAnsi="Times New Roman" w:eastAsia="仿宋_GB2312" w:cs="Times New Roman"/>
          <w:sz w:val="32"/>
          <w:szCs w:val="32"/>
        </w:rPr>
        <w:t>全面实施“八五”普法规划，推进宪法、民法典等重要法律法规的学习，深化防范邪教、禁毒防毒、扫黑除恶等重点法治领域的宣传教育。加强社会主义法治文化建设，发挥法治文化阵地品牌作用。深化“民主法治示范村（社区）”创建，实施“法律明白人”培养工程，增强学法用法实效。坚持法治教育与法治实践相结合，推动街道宣告室（模拟法庭）建设。</w:t>
      </w:r>
    </w:p>
    <w:p w14:paraId="38C7C1E8">
      <w:pPr>
        <w:spacing w:line="600" w:lineRule="exact"/>
        <w:ind w:firstLine="643" w:firstLineChars="200"/>
        <w:rPr>
          <w:rFonts w:ascii="Times New Roman" w:hAnsi="Times New Roman" w:eastAsia="黑体" w:cs="Times New Roman"/>
          <w:szCs w:val="32"/>
        </w:rPr>
      </w:pPr>
      <w:r>
        <w:rPr>
          <w:rFonts w:ascii="Times New Roman" w:hAnsi="Times New Roman" w:eastAsia="仿宋_GB2312" w:cs="Times New Roman"/>
          <w:b/>
          <w:bCs/>
          <w:sz w:val="32"/>
          <w:szCs w:val="32"/>
        </w:rPr>
        <w:t>完善公共法律服务体系，维护辖区和谐稳定。</w:t>
      </w:r>
      <w:r>
        <w:rPr>
          <w:rFonts w:ascii="Times New Roman" w:hAnsi="Times New Roman" w:eastAsia="仿宋_GB2312" w:cs="Times New Roman"/>
          <w:sz w:val="32"/>
          <w:szCs w:val="32"/>
        </w:rPr>
        <w:t>高效整合法律服务资源，满足群众法律需求，持续推进公共法律服务网格化就近管理。拓宽公共法律服务实体、热线和网络三大平台群众知晓面。为街道和村居配齐专职人民调解员。推进访调对接、公调对接、诉调对接，落实“双百行动”，促进矛盾纠纷多元化解。</w:t>
      </w:r>
    </w:p>
    <w:p w14:paraId="36A7EFC1">
      <w:pPr>
        <w:pStyle w:val="4"/>
        <w:keepLines w:val="0"/>
        <w:adjustRightInd w:val="0"/>
        <w:snapToGrid w:val="0"/>
        <w:spacing w:before="156" w:after="156" w:line="600" w:lineRule="exact"/>
        <w:jc w:val="center"/>
        <w:rPr>
          <w:rFonts w:eastAsia="黑体" w:cs="Times New Roman"/>
          <w:b w:val="0"/>
          <w:szCs w:val="32"/>
        </w:rPr>
      </w:pPr>
      <w:bookmarkStart w:id="37" w:name="_Toc17276"/>
      <w:r>
        <w:rPr>
          <w:rFonts w:eastAsia="黑体" w:cs="Times New Roman"/>
          <w:b w:val="0"/>
          <w:szCs w:val="32"/>
        </w:rPr>
        <w:t>第三节  实施安全责任体系建设工程</w:t>
      </w:r>
      <w:bookmarkEnd w:id="37"/>
    </w:p>
    <w:p w14:paraId="3AA7423A">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强化党政部门监管责任。</w:t>
      </w:r>
      <w:r>
        <w:rPr>
          <w:rFonts w:ascii="Times New Roman" w:hAnsi="Times New Roman" w:eastAsia="仿宋_GB2312" w:cs="Times New Roman"/>
          <w:sz w:val="32"/>
          <w:szCs w:val="32"/>
        </w:rPr>
        <w:t>增强安全红线意识，全面贯彻落实“</w:t>
      </w:r>
      <w:r>
        <w:rPr>
          <w:rFonts w:hint="eastAsia" w:ascii="Times New Roman" w:hAnsi="Times New Roman" w:eastAsia="仿宋_GB2312" w:cs="Times New Roman"/>
          <w:sz w:val="32"/>
          <w:szCs w:val="32"/>
        </w:rPr>
        <w:t>党政同责、一岗双责、齐抓共管、失职追责</w:t>
      </w:r>
      <w:bookmarkStart w:id="44" w:name="_GoBack"/>
      <w:bookmarkEnd w:id="44"/>
      <w:r>
        <w:rPr>
          <w:rFonts w:ascii="Times New Roman" w:hAnsi="Times New Roman" w:eastAsia="仿宋_GB2312" w:cs="Times New Roman"/>
          <w:sz w:val="32"/>
          <w:szCs w:val="32"/>
        </w:rPr>
        <w:t>”的安全责任体系，完善安全防范措施，落实属地监管责任。经济发展、公共安全（综治）等专项部门要加强对产业园区、社区和村庄的监督管理，掌握重点企业、重点社区、重点村安全状况，强化安全工作中的薄弱环节。</w:t>
      </w:r>
    </w:p>
    <w:p w14:paraId="1ACCB411">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落实企业安全生产主体责任。</w:t>
      </w:r>
      <w:r>
        <w:rPr>
          <w:rFonts w:ascii="Times New Roman" w:hAnsi="Times New Roman" w:eastAsia="仿宋_GB2312" w:cs="Times New Roman"/>
          <w:sz w:val="32"/>
          <w:szCs w:val="32"/>
        </w:rPr>
        <w:t>全面落实滨海新区安全生产工作部署，每年组织专门力量深入企业，开展落实企业安全生产主体责任专题宣讲，强化企业主要负责人、安全工作负责人的安全意识。完善安全生产责任制和各项安全规章制度，建立健全隐患排查治理体系，制定安全生产应急救援管理预案。建立常态化专项安全检查机制，对发现的问题及时予以督导治理，确保生产的安全稳定。</w:t>
      </w:r>
    </w:p>
    <w:p w14:paraId="70BEC807">
      <w:pPr>
        <w:pStyle w:val="4"/>
        <w:keepLines w:val="0"/>
        <w:adjustRightInd w:val="0"/>
        <w:snapToGrid w:val="0"/>
        <w:spacing w:before="156" w:after="156" w:line="600" w:lineRule="exact"/>
        <w:jc w:val="center"/>
        <w:rPr>
          <w:rFonts w:eastAsia="黑体" w:cs="Times New Roman"/>
          <w:b w:val="0"/>
          <w:szCs w:val="32"/>
        </w:rPr>
      </w:pPr>
      <w:bookmarkStart w:id="38" w:name="_Toc26395"/>
      <w:r>
        <w:rPr>
          <w:rFonts w:eastAsia="黑体" w:cs="Times New Roman"/>
          <w:b w:val="0"/>
          <w:szCs w:val="32"/>
        </w:rPr>
        <w:t>第四节  实施安全保障机制优化工程</w:t>
      </w:r>
      <w:bookmarkEnd w:id="38"/>
    </w:p>
    <w:p w14:paraId="11CAF7B4">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完善安全防范措施。</w:t>
      </w:r>
      <w:r>
        <w:rPr>
          <w:rFonts w:ascii="Times New Roman" w:hAnsi="Times New Roman" w:eastAsia="仿宋_GB2312" w:cs="Times New Roman"/>
          <w:sz w:val="32"/>
          <w:szCs w:val="32"/>
        </w:rPr>
        <w:t>科学合理确定企业选址、基础设施建设和居民生活空间布局，高风险项目审批和城乡规划必须以安全为前提，实行重大安全风险“一票否决”。完善道路交通严管严治体系，深化公安交通管理勤务机制改革，健全道路交通违法行为整治常态长效机制。</w:t>
      </w:r>
      <w:r>
        <w:rPr>
          <w:rFonts w:ascii="Times New Roman" w:hAnsi="Times New Roman" w:eastAsia="仿宋_GB2312" w:cs="Times New Roman"/>
          <w:bCs/>
          <w:sz w:val="32"/>
          <w:szCs w:val="32"/>
        </w:rPr>
        <w:t>推动自然资源和规划、住建、交管、消防等部门建立地理信息和建（构）筑物、消防水源、道路监控等信息的共享机制，</w:t>
      </w:r>
      <w:r>
        <w:rPr>
          <w:rFonts w:ascii="Times New Roman" w:hAnsi="Times New Roman" w:eastAsia="仿宋_GB2312" w:cs="Times New Roman"/>
          <w:sz w:val="32"/>
          <w:szCs w:val="32"/>
        </w:rPr>
        <w:t>加强自然灾害防治，全力防范化解重大安全风险，着力提升应急管理和防灾减灾救灾能力。</w:t>
      </w:r>
    </w:p>
    <w:p w14:paraId="245FD78D">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建立应对突发公共卫生安全处置机制。</w:t>
      </w:r>
      <w:r>
        <w:rPr>
          <w:rFonts w:ascii="Times New Roman" w:hAnsi="Times New Roman" w:eastAsia="仿宋_GB2312" w:cs="Times New Roman"/>
          <w:sz w:val="32"/>
          <w:szCs w:val="32"/>
        </w:rPr>
        <w:t>落实市、区两级有关公共卫生安全突发事件处置要求，制定与滨海新区相关部门的协调和对接制度，结合辖区毗邻河北省黄骅市的跨省交流频繁特点，建立组织健全、反应灵敏的应急体系和运行机制，明确公共卫生安全应急事件处置程序，及时收集和传递相关信息，各社区明确应急机动包的保管和分发职责，有效控制突发公共卫生事件，保护人民群众健康安全。</w:t>
      </w:r>
    </w:p>
    <w:p w14:paraId="58409C08">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加强社会稳定风险源头防控。</w:t>
      </w:r>
      <w:r>
        <w:rPr>
          <w:rFonts w:ascii="Times New Roman" w:hAnsi="Times New Roman" w:eastAsia="仿宋_GB2312" w:cs="Times New Roman"/>
          <w:sz w:val="32"/>
          <w:szCs w:val="32"/>
        </w:rPr>
        <w:t>严格落实重大事项、重大决策、重点建设和改造项目社会稳定风险分析和评估制度。强化重点地区管控，建立健全治安突出问题的长效治理机制。坚持问题导向，加大对突出治安问题的治理力度，依法严厉打击各种刑事犯罪和影响群众安全感的违法犯罪活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F8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522" w:type="dxa"/>
            <w:vAlign w:val="center"/>
          </w:tcPr>
          <w:p w14:paraId="652AE20C">
            <w:pPr>
              <w:snapToGrid w:val="0"/>
              <w:jc w:val="center"/>
              <w:rPr>
                <w:rFonts w:ascii="Times New Roman" w:hAnsi="Times New Roman" w:eastAsia="仿宋_GB2312" w:cs="Times New Roman"/>
                <w:color w:val="000000" w:themeColor="text1"/>
                <w:sz w:val="28"/>
                <w:szCs w:val="28"/>
              </w:rPr>
            </w:pPr>
            <w:r>
              <w:rPr>
                <w:rFonts w:ascii="Times New Roman" w:hAnsi="Times New Roman" w:eastAsia="方正小标宋简体" w:cs="Times New Roman"/>
                <w:bCs/>
                <w:color w:val="000000" w:themeColor="text1"/>
                <w:sz w:val="28"/>
                <w:szCs w:val="28"/>
              </w:rPr>
              <w:t>专栏9  “三线一网”社区治理专项行动</w:t>
            </w:r>
          </w:p>
        </w:tc>
      </w:tr>
      <w:tr w14:paraId="076D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12F72CFD">
            <w:pPr>
              <w:snapToGrid w:val="0"/>
              <w:spacing w:line="324" w:lineRule="auto"/>
              <w:ind w:firstLine="562" w:firstLineChars="200"/>
              <w:rPr>
                <w:rFonts w:ascii="Times New Roman" w:hAnsi="Times New Roman" w:eastAsia="STHeiti Regular" w:cs="Times New Roman"/>
                <w:b/>
                <w:bCs/>
                <w:color w:val="000000" w:themeColor="text1"/>
                <w:sz w:val="28"/>
                <w:szCs w:val="28"/>
              </w:rPr>
            </w:pPr>
            <w:r>
              <w:rPr>
                <w:rFonts w:ascii="Times New Roman" w:hAnsi="Times New Roman" w:eastAsia="STHeiti Regular" w:cs="Times New Roman"/>
                <w:b/>
                <w:bCs/>
                <w:color w:val="000000" w:themeColor="text1"/>
                <w:sz w:val="28"/>
                <w:szCs w:val="28"/>
              </w:rPr>
              <w:t>抓住民生线、互助线、文化线，打造安全网，社区治理实现共建共治共享目标。</w:t>
            </w:r>
          </w:p>
          <w:p w14:paraId="0E321C9D">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民生线：</w:t>
            </w:r>
            <w:r>
              <w:rPr>
                <w:rFonts w:ascii="Times New Roman" w:hAnsi="Times New Roman" w:eastAsia="楷体_GB2312" w:cs="Times New Roman"/>
                <w:color w:val="000000" w:themeColor="text1"/>
                <w:sz w:val="28"/>
                <w:szCs w:val="28"/>
              </w:rPr>
              <w:t>加快建设社区</w:t>
            </w:r>
            <w:r>
              <w:rPr>
                <w:rFonts w:ascii="Times New Roman" w:hAnsi="Times New Roman" w:eastAsia="楷体_GB2312" w:cs="Times New Roman"/>
                <w:color w:val="444444"/>
                <w:sz w:val="28"/>
                <w:szCs w:val="28"/>
              </w:rPr>
              <w:t>超市、居家养老服务社、社区警务室、社区服务中心等民生平台，</w:t>
            </w:r>
            <w:r>
              <w:rPr>
                <w:rFonts w:ascii="Times New Roman" w:hAnsi="Times New Roman" w:eastAsia="楷体_GB2312" w:cs="Times New Roman"/>
                <w:color w:val="000000" w:themeColor="text1"/>
                <w:sz w:val="28"/>
                <w:szCs w:val="28"/>
              </w:rPr>
              <w:t>推进</w:t>
            </w:r>
            <w:r>
              <w:rPr>
                <w:rFonts w:ascii="Times New Roman" w:hAnsi="Times New Roman" w:eastAsia="楷体_GB2312" w:cs="Times New Roman"/>
                <w:color w:val="444444"/>
                <w:sz w:val="28"/>
                <w:szCs w:val="28"/>
              </w:rPr>
              <w:t>“灯亮、路平、城绿、居安”民心工程，</w:t>
            </w:r>
            <w:r>
              <w:rPr>
                <w:rFonts w:ascii="Times New Roman" w:hAnsi="Times New Roman" w:eastAsia="楷体_GB2312" w:cs="Times New Roman"/>
                <w:color w:val="000000" w:themeColor="text1"/>
                <w:sz w:val="28"/>
                <w:szCs w:val="28"/>
              </w:rPr>
              <w:t>从楼道革命、居民停车、环境美化等民生实事着手，</w:t>
            </w:r>
            <w:r>
              <w:rPr>
                <w:rFonts w:ascii="Times New Roman" w:hAnsi="Times New Roman" w:eastAsia="楷体_GB2312" w:cs="Times New Roman"/>
                <w:color w:val="444444"/>
                <w:sz w:val="28"/>
                <w:szCs w:val="28"/>
              </w:rPr>
              <w:t>解决</w:t>
            </w:r>
            <w:r>
              <w:rPr>
                <w:rFonts w:ascii="Times New Roman" w:hAnsi="Times New Roman" w:eastAsia="楷体_GB2312" w:cs="Times New Roman"/>
                <w:color w:val="000000" w:themeColor="text1"/>
                <w:sz w:val="28"/>
                <w:szCs w:val="28"/>
              </w:rPr>
              <w:t>群众最为关切的问题。</w:t>
            </w:r>
          </w:p>
          <w:p w14:paraId="308BE029">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互助线：</w:t>
            </w:r>
            <w:r>
              <w:rPr>
                <w:rFonts w:ascii="Times New Roman" w:hAnsi="Times New Roman" w:eastAsia="楷体_GB2312" w:cs="Times New Roman"/>
                <w:color w:val="000000" w:themeColor="text1"/>
                <w:sz w:val="28"/>
                <w:szCs w:val="28"/>
              </w:rPr>
              <w:t>加快培育社区互助组织，鼓励居民积极参与互助行动，发挥各自特长和优势为他人提供帮助，为空巢老人提供清扫卫生和代购等服务。建立社区“公益银行”，将居民参与公益活动量化成分值存入“公益银行”，激励爱心奉献，营造互帮互助的良好氛围。</w:t>
            </w:r>
          </w:p>
          <w:p w14:paraId="1EB2C455">
            <w:pPr>
              <w:snapToGrid w:val="0"/>
              <w:spacing w:line="324" w:lineRule="auto"/>
              <w:ind w:firstLine="562" w:firstLineChars="200"/>
              <w:rPr>
                <w:rFonts w:ascii="Times New Roman" w:hAnsi="Times New Roman" w:eastAsia="楷体_GB2312" w:cs="Times New Roman"/>
                <w:color w:val="000000" w:themeColor="text1"/>
                <w:sz w:val="28"/>
                <w:szCs w:val="28"/>
              </w:rPr>
            </w:pPr>
            <w:r>
              <w:rPr>
                <w:rFonts w:ascii="Times New Roman" w:hAnsi="Times New Roman" w:eastAsia="STHeiti Regular" w:cs="Times New Roman"/>
                <w:b/>
                <w:bCs/>
                <w:color w:val="000000" w:themeColor="text1"/>
                <w:sz w:val="28"/>
                <w:szCs w:val="28"/>
              </w:rPr>
              <w:t>文化线：</w:t>
            </w:r>
            <w:r>
              <w:rPr>
                <w:rFonts w:ascii="Times New Roman" w:hAnsi="Times New Roman" w:eastAsia="楷体_GB2312" w:cs="Times New Roman"/>
                <w:color w:val="000000" w:themeColor="text1"/>
                <w:sz w:val="28"/>
                <w:szCs w:val="28"/>
              </w:rPr>
              <w:t>建立社区“一报一栏一社”宣传阵地，即“社区黑板报”、“社区文化栏”和“文学社”，创作反映社区变化的文艺作品。创建“社区治理大讲堂”等文化活动载体，宣传共建共治共享的治理理念</w:t>
            </w:r>
            <w:r>
              <w:rPr>
                <w:rFonts w:ascii="Times New Roman" w:hAnsi="Times New Roman" w:eastAsia="楷体_GB2312" w:cs="Times New Roman"/>
                <w:color w:val="444444"/>
                <w:sz w:val="28"/>
                <w:szCs w:val="28"/>
              </w:rPr>
              <w:t>。</w:t>
            </w:r>
          </w:p>
          <w:p w14:paraId="73B6F416">
            <w:pPr>
              <w:snapToGrid w:val="0"/>
              <w:spacing w:line="324" w:lineRule="auto"/>
              <w:ind w:firstLine="562" w:firstLineChars="200"/>
              <w:rPr>
                <w:rFonts w:ascii="Times New Roman" w:hAnsi="Times New Roman" w:eastAsia="仿宋_GB2312" w:cs="Times New Roman"/>
                <w:color w:val="000000" w:themeColor="text1"/>
                <w:sz w:val="28"/>
                <w:szCs w:val="28"/>
              </w:rPr>
            </w:pPr>
            <w:r>
              <w:rPr>
                <w:rFonts w:ascii="Times New Roman" w:hAnsi="Times New Roman" w:eastAsia="STHeiti Regular" w:cs="Times New Roman"/>
                <w:b/>
                <w:bCs/>
                <w:color w:val="000000" w:themeColor="text1"/>
                <w:sz w:val="28"/>
                <w:szCs w:val="28"/>
              </w:rPr>
              <w:t>安全网：</w:t>
            </w:r>
            <w:r>
              <w:rPr>
                <w:rFonts w:ascii="Times New Roman" w:hAnsi="Times New Roman" w:eastAsia="楷体_GB2312" w:cs="Times New Roman"/>
                <w:color w:val="000000" w:themeColor="text1"/>
                <w:sz w:val="28"/>
                <w:szCs w:val="28"/>
              </w:rPr>
              <w:t>推动社区智慧化管理，将“雪亮工程”推向社区全覆盖，依靠现代化信息技术手段，提高监测预警能力和应急救援能力；健全安全责任体系，完善安全常态化专项检查机制和优化保障机制，提升处置突发公共卫生安全事件能力，织密辖区安全网。</w:t>
            </w:r>
          </w:p>
        </w:tc>
      </w:tr>
    </w:tbl>
    <w:p w14:paraId="123381D0">
      <w:pPr>
        <w:rPr>
          <w:rFonts w:ascii="Times New Roman" w:hAnsi="Times New Roman" w:eastAsia="仿宋" w:cs="Times New Roman"/>
          <w:sz w:val="32"/>
          <w:szCs w:val="32"/>
        </w:rPr>
      </w:pPr>
    </w:p>
    <w:p w14:paraId="479A827C">
      <w:pPr>
        <w:pStyle w:val="3"/>
        <w:keepNext w:val="0"/>
        <w:keepLines w:val="0"/>
        <w:snapToGrid/>
        <w:spacing w:before="312" w:after="312"/>
        <w:rPr>
          <w:rFonts w:ascii="Times New Roman" w:hAnsi="Times New Roman" w:eastAsia="方正小标宋简体" w:cs="Times New Roman"/>
          <w:b w:val="0"/>
          <w:bCs/>
          <w:sz w:val="44"/>
          <w:szCs w:val="44"/>
        </w:rPr>
        <w:sectPr>
          <w:pgSz w:w="11906" w:h="16838"/>
          <w:pgMar w:top="1440" w:right="1633" w:bottom="1440" w:left="1633" w:header="851" w:footer="992" w:gutter="0"/>
          <w:cols w:space="0" w:num="1"/>
          <w:docGrid w:type="lines" w:linePitch="312" w:charSpace="0"/>
        </w:sectPr>
      </w:pPr>
    </w:p>
    <w:p w14:paraId="75E228BD">
      <w:pPr>
        <w:pStyle w:val="3"/>
        <w:keepNext w:val="0"/>
        <w:keepLines w:val="0"/>
        <w:pageBreakBefore/>
        <w:adjustRightInd w:val="0"/>
        <w:snapToGrid/>
        <w:spacing w:beforeLines="0" w:afterLines="0" w:afterAutospacing="1" w:line="600" w:lineRule="exact"/>
        <w:rPr>
          <w:rFonts w:ascii="Times New Roman" w:hAnsi="Times New Roman" w:eastAsia="方正小标宋简体" w:cs="Times New Roman"/>
          <w:b w:val="0"/>
          <w:kern w:val="2"/>
          <w:sz w:val="36"/>
          <w:szCs w:val="36"/>
        </w:rPr>
      </w:pPr>
      <w:bookmarkStart w:id="39" w:name="_Toc11290"/>
      <w:r>
        <w:rPr>
          <w:rFonts w:ascii="Times New Roman" w:hAnsi="Times New Roman" w:eastAsia="方正小标宋简体" w:cs="Times New Roman"/>
          <w:b w:val="0"/>
          <w:kern w:val="2"/>
          <w:sz w:val="36"/>
          <w:szCs w:val="36"/>
        </w:rPr>
        <w:t>第九章  保障措施</w:t>
      </w:r>
      <w:bookmarkEnd w:id="39"/>
    </w:p>
    <w:p w14:paraId="23B42E4E">
      <w:pPr>
        <w:spacing w:after="100" w:afterAutospacing="1"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要坚持党的领导，更好履行政府职责，最大程度地激发各类主体的活力和创造力，汇集形成全面建设“社会主义现代化先行示范街”的强大合力，保障“十四五”规划有效实施。</w:t>
      </w:r>
    </w:p>
    <w:p w14:paraId="76B1177F">
      <w:pPr>
        <w:pStyle w:val="4"/>
        <w:keepLines w:val="0"/>
        <w:adjustRightInd w:val="0"/>
        <w:snapToGrid w:val="0"/>
        <w:spacing w:before="156" w:after="156" w:afterAutospacing="1" w:line="600" w:lineRule="exact"/>
        <w:jc w:val="center"/>
        <w:rPr>
          <w:rFonts w:eastAsia="黑体" w:cs="Times New Roman"/>
          <w:b w:val="0"/>
          <w:szCs w:val="32"/>
        </w:rPr>
      </w:pPr>
      <w:bookmarkStart w:id="40" w:name="_Toc7035"/>
      <w:r>
        <w:rPr>
          <w:rFonts w:eastAsia="黑体" w:cs="Times New Roman"/>
          <w:b w:val="0"/>
          <w:szCs w:val="32"/>
        </w:rPr>
        <w:t>第一节  发挥党的领导核心作用</w:t>
      </w:r>
      <w:bookmarkEnd w:id="40"/>
    </w:p>
    <w:p w14:paraId="2E440E28">
      <w:pPr>
        <w:spacing w:after="100" w:afterAutospacing="1"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充分发挥党建工作对规划制定和落实的保障，把政治摆在推动规划实施的首位，加强思想政治建设，强化政治监督。自觉用习近平新时代中国特色社会主义思想武装头脑、指导实践，推动党建工作与经济社会发展深度结合。严格履行“三重一大”事项法定程序，继续实行法律顾问制度，提高科学民主依法决策水平。加强党风廉政建设，加大“两关键”监督力度，加强干部日常监督管理，认真落实“主体责任”和“一岗双责”，加强村居纪检监察监督员、联络员队伍建设，强化源头监督，建立健全监督、预防和查办机制。</w:t>
      </w:r>
    </w:p>
    <w:p w14:paraId="044A374A">
      <w:pPr>
        <w:pStyle w:val="4"/>
        <w:keepLines w:val="0"/>
        <w:adjustRightInd w:val="0"/>
        <w:snapToGrid w:val="0"/>
        <w:spacing w:before="156" w:after="156" w:afterAutospacing="1" w:line="600" w:lineRule="exact"/>
        <w:jc w:val="center"/>
        <w:rPr>
          <w:rFonts w:eastAsia="黑体" w:cs="Times New Roman"/>
          <w:b w:val="0"/>
          <w:szCs w:val="32"/>
        </w:rPr>
      </w:pPr>
      <w:bookmarkStart w:id="41" w:name="_Toc26729"/>
      <w:r>
        <w:rPr>
          <w:rFonts w:eastAsia="黑体" w:cs="Times New Roman"/>
          <w:b w:val="0"/>
          <w:szCs w:val="32"/>
        </w:rPr>
        <w:t>第二节  强化规划实施支撑</w:t>
      </w:r>
      <w:bookmarkEnd w:id="41"/>
    </w:p>
    <w:p w14:paraId="37E2E9FD">
      <w:pPr>
        <w:spacing w:after="100" w:afterAutospacing="1"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健全规划落实的领导保障。把旗帜鲜明讲政治贯穿各项工作始终，落实政治责任，提高政治能力，强化政治担当。设立规划实施工作领导小组，落实各主体责任分工。充分发挥街领导班子在规划编制、实施和管理过程中的指导作用，提高规划的科学性、引导性和操作性。</w:t>
      </w:r>
    </w:p>
    <w:p w14:paraId="3DB9DE30">
      <w:pPr>
        <w:spacing w:after="100" w:afterAutospacing="1"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立规划落实推进机制。针对规划涉及的重点任务和重要工作，明确责任主体、实施进度要求，加强统筹协调、审计监督，确保如期完成。对纳入规划的重点项目，要建立项目管理体制机制，完善项目动态管理制度，做好与上级主管部门的协调与沟通，保障规划选址、土地供应和融资安排。针对街镇难以直接落实的工作，要建立治理、督查、内审长效机制，明确对接对象，压实对接责任，及时反馈进展情况，为市、区两级决策部署落实提供强有力的纪律作风保障。</w:t>
      </w:r>
    </w:p>
    <w:p w14:paraId="63A94353">
      <w:pPr>
        <w:pStyle w:val="4"/>
        <w:keepLines w:val="0"/>
        <w:adjustRightInd w:val="0"/>
        <w:snapToGrid w:val="0"/>
        <w:spacing w:before="156" w:after="156" w:afterAutospacing="1" w:line="600" w:lineRule="exact"/>
        <w:jc w:val="center"/>
        <w:rPr>
          <w:rFonts w:eastAsia="黑体" w:cs="Times New Roman"/>
          <w:b w:val="0"/>
          <w:szCs w:val="32"/>
        </w:rPr>
      </w:pPr>
      <w:bookmarkStart w:id="42" w:name="_Toc28126"/>
      <w:r>
        <w:rPr>
          <w:rFonts w:eastAsia="黑体" w:cs="Times New Roman"/>
          <w:b w:val="0"/>
          <w:szCs w:val="32"/>
        </w:rPr>
        <w:t>第三节  建立协调衔接机制</w:t>
      </w:r>
      <w:bookmarkEnd w:id="42"/>
    </w:p>
    <w:p w14:paraId="45FE920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各级各类规划的相互衔接。做好与滨海新区土地利用规划、城市总体规划的衔接，加强区、街两级规划相结合，确保本规划确定的各项任务与市、区两级相关规划在总体要求上指向一致、空间配置上相互协调、时序安排上科学有序，切实提高规划实施成效。提升规划对经济社会发展的引导性，合理配置公共资源，动员和引导全社会力量共同推进规划落实。</w:t>
      </w:r>
    </w:p>
    <w:p w14:paraId="168EB0E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强化各部门单位的有效协调。建立由滨海新区牵头，街道办、大港油田共同参与的规划协同推进联席会议制度，在土地资源开发、项目引进、公共设施布局、应急管理等方面做好协调与联动。针对规划落实情况，街道办与大港油田定期通报工作进展，顺畅信息沟通，对出现的新情况和新问题，及时进行研究，达成共识，强力推进。建立监督检查机制，滨海新区政府对涉及海滨街与大港油田双方共同推进的重点事项进行跟踪问效，必要时予以协助，确保联动机制高效运行，各项任务落实到位。</w:t>
      </w:r>
    </w:p>
    <w:p w14:paraId="6D0F89EB">
      <w:pPr>
        <w:pStyle w:val="4"/>
        <w:keepLines w:val="0"/>
        <w:adjustRightInd w:val="0"/>
        <w:snapToGrid w:val="0"/>
        <w:spacing w:before="156" w:after="156" w:afterAutospacing="1" w:line="600" w:lineRule="exact"/>
        <w:jc w:val="center"/>
        <w:rPr>
          <w:rFonts w:eastAsia="黑体" w:cs="Times New Roman"/>
          <w:b w:val="0"/>
          <w:szCs w:val="32"/>
        </w:rPr>
      </w:pPr>
      <w:bookmarkStart w:id="43" w:name="_Toc8309"/>
      <w:r>
        <w:rPr>
          <w:rFonts w:eastAsia="黑体" w:cs="Times New Roman"/>
          <w:b w:val="0"/>
          <w:szCs w:val="32"/>
        </w:rPr>
        <w:t>第四节  完善配套保障</w:t>
      </w:r>
      <w:bookmarkEnd w:id="43"/>
    </w:p>
    <w:p w14:paraId="70D33299">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营造高效便民的政务环境。以行政效能提升为核心，坚定落实滨海新区“放管服”“简政放权”等改革工作部署，主动发现和破解企业生产经营中的堵点和痛点，不断激发市场主体的活力和创造力。积极优化“政务一网通”平台功能，加快推进政务服务平台与各类专网的对接，做好政务服务“一张网”。</w:t>
      </w:r>
    </w:p>
    <w:p w14:paraId="5794F545">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营造开放便利的市场环境。结合滨海新区经济社会发展总体要求，及时做好市、区两级产业政策宣传，合理引导投资方向，增强企业投资信心，构建亲清新型政商关系。严格落实《天津市滨海新区关于打造国际一流营商环境实现高质量发展的实施意见》，降低市场准入门槛，优化企业开办流程，提高企业开办便利度，防止另设门槛和隐性限制。积极主动配合滨海新区市场监管部门优化法制环境，减少对市场主体经营过程的干预，保障市场主体合法经营的权益。</w:t>
      </w:r>
    </w:p>
    <w:p w14:paraId="1CFD3664">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街各级党组织和广大党员干部群众要更加紧密地团结在以习近平同志为核心的党中央周围，高举中国特色社会主义伟大旗帜，团结一心、顽强拼搏，创新竞进、奋发有为，为加快建设社会主义现代化先行示范街和全面建成社会主义现代化建设先行区而努力奋斗！</w:t>
      </w:r>
    </w:p>
    <w:sectPr>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简">
    <w:altName w:val="黑体"/>
    <w:panose1 w:val="00000000000000000000"/>
    <w:charset w:val="86"/>
    <w:family w:val="auto"/>
    <w:pitch w:val="default"/>
    <w:sig w:usb0="00000000" w:usb1="00000000" w:usb2="00000000" w:usb3="00000000" w:csb0="203E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文星仿宋">
    <w:altName w:val="黑体"/>
    <w:panose1 w:val="00000000000000000000"/>
    <w:charset w:val="86"/>
    <w:family w:val="auto"/>
    <w:pitch w:val="default"/>
    <w:sig w:usb0="00000000" w:usb1="00000000" w:usb2="00000010" w:usb3="00000000" w:csb0="00040000" w:csb1="00000000"/>
  </w:font>
  <w:font w:name="DejaVu Sans">
    <w:altName w:val="Times New Roman"/>
    <w:panose1 w:val="00000000000000000000"/>
    <w:charset w:val="00"/>
    <w:family w:val="roman"/>
    <w:pitch w:val="default"/>
    <w:sig w:usb0="00000000" w:usb1="00000000" w:usb2="00000008" w:usb3="00000000" w:csb0="000001FF" w:csb1="00000000"/>
  </w:font>
  <w:font w:name="Helvetica Neue">
    <w:altName w:val="Times New Roman"/>
    <w:panose1 w:val="00000000000000000000"/>
    <w:charset w:val="00"/>
    <w:family w:val="auto"/>
    <w:pitch w:val="default"/>
    <w:sig w:usb0="00000000" w:usb1="00000000" w:usb2="0000001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1" w:usb3="00000000" w:csb0="400001BF" w:csb1="DFF70000"/>
  </w:font>
  <w:font w:name="STHeiti Regular">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9B97B">
    <w:pPr>
      <w:pStyle w:val="8"/>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14:paraId="40916596">
                <w:pPr>
                  <w:snapToGrid w:val="0"/>
                  <w:rPr>
                    <w:rFonts w:ascii="Times New Roman Regular" w:hAnsi="Times New Roman Regular" w:cs="Times New Roman Regular"/>
                    <w:sz w:val="18"/>
                  </w:rPr>
                </w:pPr>
                <w:r>
                  <w:rPr>
                    <w:rFonts w:ascii="Times New Roman Regular" w:hAnsi="Times New Roman Regular" w:cs="Times New Roman Regular"/>
                    <w:sz w:val="18"/>
                  </w:rPr>
                  <w:fldChar w:fldCharType="begin"/>
                </w:r>
                <w:r>
                  <w:rPr>
                    <w:rFonts w:ascii="Times New Roman Regular" w:hAnsi="Times New Roman Regular" w:cs="Times New Roman Regular"/>
                    <w:sz w:val="18"/>
                  </w:rPr>
                  <w:instrText xml:space="preserve"> PAGE  \* MERGEFORMAT </w:instrText>
                </w:r>
                <w:r>
                  <w:rPr>
                    <w:rFonts w:ascii="Times New Roman Regular" w:hAnsi="Times New Roman Regular" w:cs="Times New Roman Regular"/>
                    <w:sz w:val="18"/>
                  </w:rPr>
                  <w:fldChar w:fldCharType="separate"/>
                </w:r>
                <w:r>
                  <w:rPr>
                    <w:rFonts w:ascii="Times New Roman Regular" w:hAnsi="Times New Roman Regular" w:cs="Times New Roman Regular"/>
                    <w:sz w:val="18"/>
                  </w:rPr>
                  <w:t>1</w:t>
                </w:r>
                <w:r>
                  <w:rPr>
                    <w:rFonts w:ascii="Times New Roman Regular" w:hAnsi="Times New Roman Regular" w:cs="Times New Roman Regular"/>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D467">
    <w:pPr>
      <w:pStyle w:val="8"/>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214B55C0">
                <w:pPr>
                  <w:snapToGrid w:val="0"/>
                  <w:rPr>
                    <w:rFonts w:ascii="Times New Roman Regular" w:hAnsi="Times New Roman Regular" w:cs="Times New Roman Regular"/>
                    <w:sz w:val="18"/>
                    <w:szCs w:val="18"/>
                  </w:rPr>
                </w:pPr>
                <w:r>
                  <w:rPr>
                    <w:rFonts w:ascii="Times New Roman Regular" w:hAnsi="Times New Roman Regular" w:cs="Times New Roman Regular"/>
                    <w:sz w:val="18"/>
                    <w:szCs w:val="18"/>
                  </w:rPr>
                  <w:fldChar w:fldCharType="begin"/>
                </w:r>
                <w:r>
                  <w:rPr>
                    <w:rFonts w:ascii="Times New Roman Regular" w:hAnsi="Times New Roman Regular" w:cs="Times New Roman Regular"/>
                    <w:sz w:val="18"/>
                    <w:szCs w:val="18"/>
                  </w:rPr>
                  <w:instrText xml:space="preserve"> PAGE  \* MERGEFORMAT </w:instrText>
                </w:r>
                <w:r>
                  <w:rPr>
                    <w:rFonts w:ascii="Times New Roman Regular" w:hAnsi="Times New Roman Regular" w:cs="Times New Roman Regular"/>
                    <w:sz w:val="18"/>
                    <w:szCs w:val="18"/>
                  </w:rPr>
                  <w:fldChar w:fldCharType="separate"/>
                </w:r>
                <w:r>
                  <w:rPr>
                    <w:rFonts w:ascii="Times New Roman Regular" w:hAnsi="Times New Roman Regular" w:cs="Times New Roman Regular"/>
                    <w:sz w:val="18"/>
                    <w:szCs w:val="18"/>
                  </w:rPr>
                  <w:t>10</w:t>
                </w:r>
                <w:r>
                  <w:rPr>
                    <w:rFonts w:ascii="Times New Roman Regular" w:hAnsi="Times New Roman Regular" w:cs="Times New Roman Regular"/>
                    <w:sz w:val="18"/>
                    <w:szCs w:val="1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1E62AF9">
      <w:pPr>
        <w:pStyle w:val="11"/>
      </w:pPr>
      <w:r>
        <w:rPr>
          <w:rStyle w:val="19"/>
        </w:rPr>
        <w:footnoteRef/>
      </w:r>
      <w:r>
        <w:rPr>
          <w:rFonts w:hint="eastAsia"/>
        </w:rPr>
        <w:t>津南生态廊道</w:t>
      </w:r>
      <w:r>
        <w:t>：</w:t>
      </w:r>
      <w:r>
        <w:rPr>
          <w:rFonts w:hint="eastAsia"/>
        </w:rPr>
        <w:t>天津市津南区绿色生态屏障规划中规定，该屏障涉及宁河、东丽、津南、西青及滨海新区，空间布局分为“一核、三片区、七廊道、九节点”，其中七廊道包括贯穿津南区和滨海新区的“海河、宁静高速、津晋高速、古海岸湿地四条一级生态廊道”，以及“唐津高速、卫津河-洪泥河、津港高速”三条二级生态廊道。在此将上述七条生态廊道进行了汇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DB505D6"/>
    <w:rsid w:val="000B345F"/>
    <w:rsid w:val="000C32B5"/>
    <w:rsid w:val="002670C3"/>
    <w:rsid w:val="00B17B2F"/>
    <w:rsid w:val="00B17F36"/>
    <w:rsid w:val="00B565BA"/>
    <w:rsid w:val="00C8320F"/>
    <w:rsid w:val="00EA0012"/>
    <w:rsid w:val="00ED7207"/>
    <w:rsid w:val="00F275B8"/>
    <w:rsid w:val="03092B5D"/>
    <w:rsid w:val="0415704B"/>
    <w:rsid w:val="04B107B6"/>
    <w:rsid w:val="04C05450"/>
    <w:rsid w:val="04EE4F57"/>
    <w:rsid w:val="06632F62"/>
    <w:rsid w:val="0758031B"/>
    <w:rsid w:val="07D6F45D"/>
    <w:rsid w:val="08F81964"/>
    <w:rsid w:val="09627506"/>
    <w:rsid w:val="09CF500E"/>
    <w:rsid w:val="0A2709FD"/>
    <w:rsid w:val="0B7BFC5C"/>
    <w:rsid w:val="0BA3022B"/>
    <w:rsid w:val="0BCC53DC"/>
    <w:rsid w:val="0CC10ECE"/>
    <w:rsid w:val="0D8114D2"/>
    <w:rsid w:val="0DEE04FC"/>
    <w:rsid w:val="0E232F23"/>
    <w:rsid w:val="0E822EBC"/>
    <w:rsid w:val="0E874BF5"/>
    <w:rsid w:val="11836B0B"/>
    <w:rsid w:val="13EA4011"/>
    <w:rsid w:val="140E6A11"/>
    <w:rsid w:val="14357888"/>
    <w:rsid w:val="14634A3F"/>
    <w:rsid w:val="15B86D21"/>
    <w:rsid w:val="15FE23E3"/>
    <w:rsid w:val="16BC21F3"/>
    <w:rsid w:val="171114C6"/>
    <w:rsid w:val="172310DE"/>
    <w:rsid w:val="178A0D90"/>
    <w:rsid w:val="17AC455F"/>
    <w:rsid w:val="17E4122C"/>
    <w:rsid w:val="182A14DA"/>
    <w:rsid w:val="1A2423E3"/>
    <w:rsid w:val="1A560561"/>
    <w:rsid w:val="1B216DA1"/>
    <w:rsid w:val="1B86685C"/>
    <w:rsid w:val="1BEA6522"/>
    <w:rsid w:val="1BF76EC2"/>
    <w:rsid w:val="1C5C4C8F"/>
    <w:rsid w:val="1CA5531E"/>
    <w:rsid w:val="1CF8191D"/>
    <w:rsid w:val="1D9B04B9"/>
    <w:rsid w:val="1D9FC728"/>
    <w:rsid w:val="1DEC5FA8"/>
    <w:rsid w:val="1E043946"/>
    <w:rsid w:val="1E59399F"/>
    <w:rsid w:val="1EA961C1"/>
    <w:rsid w:val="1EBDB2D2"/>
    <w:rsid w:val="1EFE300B"/>
    <w:rsid w:val="1F6EE5D5"/>
    <w:rsid w:val="1F7B45FA"/>
    <w:rsid w:val="1FBF2630"/>
    <w:rsid w:val="1FEB238D"/>
    <w:rsid w:val="1FF77D44"/>
    <w:rsid w:val="2063313E"/>
    <w:rsid w:val="213A55A1"/>
    <w:rsid w:val="22686D14"/>
    <w:rsid w:val="254C7BB4"/>
    <w:rsid w:val="25542246"/>
    <w:rsid w:val="255F1DDB"/>
    <w:rsid w:val="256948F6"/>
    <w:rsid w:val="2655177C"/>
    <w:rsid w:val="26B47C60"/>
    <w:rsid w:val="270F4572"/>
    <w:rsid w:val="28B46893"/>
    <w:rsid w:val="296E4423"/>
    <w:rsid w:val="2AA77182"/>
    <w:rsid w:val="2ABD6327"/>
    <w:rsid w:val="2BA470EE"/>
    <w:rsid w:val="2C3A5708"/>
    <w:rsid w:val="2E0E7432"/>
    <w:rsid w:val="2E2A3FC7"/>
    <w:rsid w:val="2E3944F5"/>
    <w:rsid w:val="2F42208E"/>
    <w:rsid w:val="2FB7EF2F"/>
    <w:rsid w:val="30A131A8"/>
    <w:rsid w:val="30BE1531"/>
    <w:rsid w:val="30E70FD7"/>
    <w:rsid w:val="30F62C08"/>
    <w:rsid w:val="3110589D"/>
    <w:rsid w:val="313F5F87"/>
    <w:rsid w:val="31654B54"/>
    <w:rsid w:val="32121347"/>
    <w:rsid w:val="324B2935"/>
    <w:rsid w:val="333C48B6"/>
    <w:rsid w:val="33B21F3D"/>
    <w:rsid w:val="33F31420"/>
    <w:rsid w:val="33F538F4"/>
    <w:rsid w:val="34BB726A"/>
    <w:rsid w:val="357F7435"/>
    <w:rsid w:val="36852037"/>
    <w:rsid w:val="371C356B"/>
    <w:rsid w:val="371FCA5F"/>
    <w:rsid w:val="3776D13D"/>
    <w:rsid w:val="37B8B07A"/>
    <w:rsid w:val="37BFBE33"/>
    <w:rsid w:val="37DF2FE6"/>
    <w:rsid w:val="39C31AF7"/>
    <w:rsid w:val="39D71507"/>
    <w:rsid w:val="3AA24E75"/>
    <w:rsid w:val="3B357EFE"/>
    <w:rsid w:val="3B773A95"/>
    <w:rsid w:val="3BA7D8B4"/>
    <w:rsid w:val="3BBD9EBB"/>
    <w:rsid w:val="3BCF154F"/>
    <w:rsid w:val="3BEDBD93"/>
    <w:rsid w:val="3C1F47B4"/>
    <w:rsid w:val="3C633D8C"/>
    <w:rsid w:val="3C8F032E"/>
    <w:rsid w:val="3CCF01FE"/>
    <w:rsid w:val="3DB505D6"/>
    <w:rsid w:val="3DBF245C"/>
    <w:rsid w:val="3EAF38BD"/>
    <w:rsid w:val="3F6CFB11"/>
    <w:rsid w:val="3F7A4898"/>
    <w:rsid w:val="3F7FFE53"/>
    <w:rsid w:val="3FB7F55F"/>
    <w:rsid w:val="3FDE1351"/>
    <w:rsid w:val="3FFF8FB7"/>
    <w:rsid w:val="40A27992"/>
    <w:rsid w:val="40A532E1"/>
    <w:rsid w:val="417A6E3C"/>
    <w:rsid w:val="42C3746A"/>
    <w:rsid w:val="44970D3F"/>
    <w:rsid w:val="44B71BBE"/>
    <w:rsid w:val="44EE18B1"/>
    <w:rsid w:val="454F3551"/>
    <w:rsid w:val="46DA6B52"/>
    <w:rsid w:val="471E7AC8"/>
    <w:rsid w:val="47E1547B"/>
    <w:rsid w:val="486D1E74"/>
    <w:rsid w:val="493EC10D"/>
    <w:rsid w:val="4A076D5C"/>
    <w:rsid w:val="4C015503"/>
    <w:rsid w:val="4E417D05"/>
    <w:rsid w:val="4E6E1130"/>
    <w:rsid w:val="4E6F4D78"/>
    <w:rsid w:val="4E7311BC"/>
    <w:rsid w:val="4FEF4F12"/>
    <w:rsid w:val="4FFDC36C"/>
    <w:rsid w:val="50E43921"/>
    <w:rsid w:val="51495786"/>
    <w:rsid w:val="51BC4AD3"/>
    <w:rsid w:val="52245C35"/>
    <w:rsid w:val="52685F47"/>
    <w:rsid w:val="54246C7D"/>
    <w:rsid w:val="544B1859"/>
    <w:rsid w:val="54807CB7"/>
    <w:rsid w:val="549F7F2E"/>
    <w:rsid w:val="54B5106C"/>
    <w:rsid w:val="54EE59EC"/>
    <w:rsid w:val="54EF2C51"/>
    <w:rsid w:val="55B64AA2"/>
    <w:rsid w:val="56240D92"/>
    <w:rsid w:val="566E1C85"/>
    <w:rsid w:val="5778C45F"/>
    <w:rsid w:val="57AF3519"/>
    <w:rsid w:val="57B5583F"/>
    <w:rsid w:val="57D4805C"/>
    <w:rsid w:val="58501D8A"/>
    <w:rsid w:val="58CB7358"/>
    <w:rsid w:val="59F07169"/>
    <w:rsid w:val="59FCF5CB"/>
    <w:rsid w:val="59FFFF0E"/>
    <w:rsid w:val="5A2B09F6"/>
    <w:rsid w:val="5A480E91"/>
    <w:rsid w:val="5A5618CC"/>
    <w:rsid w:val="5A671A72"/>
    <w:rsid w:val="5A6E65F9"/>
    <w:rsid w:val="5AA16936"/>
    <w:rsid w:val="5AFF91D9"/>
    <w:rsid w:val="5BFBD742"/>
    <w:rsid w:val="5BFFE613"/>
    <w:rsid w:val="5C6E635C"/>
    <w:rsid w:val="5CC13FC8"/>
    <w:rsid w:val="5CE6111F"/>
    <w:rsid w:val="5DFB4392"/>
    <w:rsid w:val="5E940C91"/>
    <w:rsid w:val="5EDD75D6"/>
    <w:rsid w:val="5EF28C1B"/>
    <w:rsid w:val="5EF97218"/>
    <w:rsid w:val="5F5F87FE"/>
    <w:rsid w:val="5FA64A99"/>
    <w:rsid w:val="5FAF89A7"/>
    <w:rsid w:val="5FFBD1F0"/>
    <w:rsid w:val="5FFE03DE"/>
    <w:rsid w:val="5FFE4B05"/>
    <w:rsid w:val="5FFFA172"/>
    <w:rsid w:val="61A96B49"/>
    <w:rsid w:val="62E24058"/>
    <w:rsid w:val="63111F71"/>
    <w:rsid w:val="631A5C33"/>
    <w:rsid w:val="63B7E2D5"/>
    <w:rsid w:val="63C87F5D"/>
    <w:rsid w:val="63EF2683"/>
    <w:rsid w:val="646731CA"/>
    <w:rsid w:val="64FF83F1"/>
    <w:rsid w:val="65E531BE"/>
    <w:rsid w:val="65E799D8"/>
    <w:rsid w:val="666324BF"/>
    <w:rsid w:val="667C1A84"/>
    <w:rsid w:val="675527C2"/>
    <w:rsid w:val="67843D1E"/>
    <w:rsid w:val="67CB0077"/>
    <w:rsid w:val="67EBB501"/>
    <w:rsid w:val="67F5AE31"/>
    <w:rsid w:val="682C71CA"/>
    <w:rsid w:val="68693D50"/>
    <w:rsid w:val="68AC1B2E"/>
    <w:rsid w:val="69833CCF"/>
    <w:rsid w:val="69BE679F"/>
    <w:rsid w:val="6A511CE5"/>
    <w:rsid w:val="6B7FB113"/>
    <w:rsid w:val="6C13272F"/>
    <w:rsid w:val="6C5F7994"/>
    <w:rsid w:val="6CFFF9AA"/>
    <w:rsid w:val="6DBE197D"/>
    <w:rsid w:val="6DF7A490"/>
    <w:rsid w:val="6E4009A1"/>
    <w:rsid w:val="6E84175D"/>
    <w:rsid w:val="6F672A23"/>
    <w:rsid w:val="6F7D3BB7"/>
    <w:rsid w:val="6FB0183D"/>
    <w:rsid w:val="6FF9736D"/>
    <w:rsid w:val="71262678"/>
    <w:rsid w:val="72284E5D"/>
    <w:rsid w:val="722C13BA"/>
    <w:rsid w:val="736E7157"/>
    <w:rsid w:val="747766B8"/>
    <w:rsid w:val="74BDBF7A"/>
    <w:rsid w:val="74CD54E4"/>
    <w:rsid w:val="74E67D99"/>
    <w:rsid w:val="74FF5E02"/>
    <w:rsid w:val="74FF8D82"/>
    <w:rsid w:val="75316DBD"/>
    <w:rsid w:val="757A4E60"/>
    <w:rsid w:val="75FA638A"/>
    <w:rsid w:val="763862B2"/>
    <w:rsid w:val="76500563"/>
    <w:rsid w:val="76534B13"/>
    <w:rsid w:val="767E4E7C"/>
    <w:rsid w:val="76B02897"/>
    <w:rsid w:val="76B74CCD"/>
    <w:rsid w:val="76F92188"/>
    <w:rsid w:val="76FA7112"/>
    <w:rsid w:val="77014713"/>
    <w:rsid w:val="77246A5E"/>
    <w:rsid w:val="77DD28AC"/>
    <w:rsid w:val="77DE00DA"/>
    <w:rsid w:val="77EE080A"/>
    <w:rsid w:val="77F798E2"/>
    <w:rsid w:val="77F7B697"/>
    <w:rsid w:val="77FBA60B"/>
    <w:rsid w:val="77FF7216"/>
    <w:rsid w:val="78681009"/>
    <w:rsid w:val="795FD7C3"/>
    <w:rsid w:val="796A39D3"/>
    <w:rsid w:val="79761042"/>
    <w:rsid w:val="797BEEE9"/>
    <w:rsid w:val="79AF3874"/>
    <w:rsid w:val="79FF68C3"/>
    <w:rsid w:val="79FFE64A"/>
    <w:rsid w:val="7A404AA7"/>
    <w:rsid w:val="7A41670B"/>
    <w:rsid w:val="7A798F2A"/>
    <w:rsid w:val="7B5F3558"/>
    <w:rsid w:val="7B5F4367"/>
    <w:rsid w:val="7B754CFD"/>
    <w:rsid w:val="7BAB50B4"/>
    <w:rsid w:val="7BFF6230"/>
    <w:rsid w:val="7C5A20E3"/>
    <w:rsid w:val="7C6127AB"/>
    <w:rsid w:val="7C943F48"/>
    <w:rsid w:val="7CAB2070"/>
    <w:rsid w:val="7CF90999"/>
    <w:rsid w:val="7D6B0301"/>
    <w:rsid w:val="7D9F8A72"/>
    <w:rsid w:val="7DB94D04"/>
    <w:rsid w:val="7DEB36A7"/>
    <w:rsid w:val="7E3B145E"/>
    <w:rsid w:val="7E7F972E"/>
    <w:rsid w:val="7EF7F15A"/>
    <w:rsid w:val="7EFEFE77"/>
    <w:rsid w:val="7EFF42D8"/>
    <w:rsid w:val="7F061906"/>
    <w:rsid w:val="7F0839B4"/>
    <w:rsid w:val="7F0F1FD2"/>
    <w:rsid w:val="7F3B1FCF"/>
    <w:rsid w:val="7F77C8E2"/>
    <w:rsid w:val="7F77EE9C"/>
    <w:rsid w:val="7F7B247C"/>
    <w:rsid w:val="7F7DCA31"/>
    <w:rsid w:val="7F7ED713"/>
    <w:rsid w:val="7F7EE7CF"/>
    <w:rsid w:val="7FAFC971"/>
    <w:rsid w:val="7FB6C772"/>
    <w:rsid w:val="7FDE9B3B"/>
    <w:rsid w:val="7FDFE587"/>
    <w:rsid w:val="7FEB5753"/>
    <w:rsid w:val="7FEFD0C2"/>
    <w:rsid w:val="7FFD31DC"/>
    <w:rsid w:val="7FFE2429"/>
    <w:rsid w:val="7FFF59F3"/>
    <w:rsid w:val="7FFF5B5D"/>
    <w:rsid w:val="88FFE8B8"/>
    <w:rsid w:val="96A5F32F"/>
    <w:rsid w:val="9775332C"/>
    <w:rsid w:val="97BDE3E8"/>
    <w:rsid w:val="9B07E40B"/>
    <w:rsid w:val="9BE9F130"/>
    <w:rsid w:val="9EFBDC98"/>
    <w:rsid w:val="9FDD6172"/>
    <w:rsid w:val="9FEDFF47"/>
    <w:rsid w:val="A13393A2"/>
    <w:rsid w:val="A7FF470D"/>
    <w:rsid w:val="AFF5913A"/>
    <w:rsid w:val="B7FF3E2F"/>
    <w:rsid w:val="B9DE3634"/>
    <w:rsid w:val="BB7BFB94"/>
    <w:rsid w:val="BBFF12B3"/>
    <w:rsid w:val="BBFF65A6"/>
    <w:rsid w:val="BC5ACD1B"/>
    <w:rsid w:val="BD9A82CE"/>
    <w:rsid w:val="BDEF04EA"/>
    <w:rsid w:val="BDFF918C"/>
    <w:rsid w:val="BEBEFF53"/>
    <w:rsid w:val="BF3BA3EB"/>
    <w:rsid w:val="BF79F62B"/>
    <w:rsid w:val="BF7FDF2B"/>
    <w:rsid w:val="BFB3C0FF"/>
    <w:rsid w:val="BFD7CAFC"/>
    <w:rsid w:val="BFDF0397"/>
    <w:rsid w:val="BFEFE12E"/>
    <w:rsid w:val="BFF95C50"/>
    <w:rsid w:val="C5FD4EC2"/>
    <w:rsid w:val="C9FFF3D7"/>
    <w:rsid w:val="CDFE9A82"/>
    <w:rsid w:val="CFD9CDFC"/>
    <w:rsid w:val="CFFDC3B9"/>
    <w:rsid w:val="CFFDCF74"/>
    <w:rsid w:val="D1E75E5F"/>
    <w:rsid w:val="D76FA5E1"/>
    <w:rsid w:val="D7FF74F2"/>
    <w:rsid w:val="D9FF167E"/>
    <w:rsid w:val="DDBAD832"/>
    <w:rsid w:val="DEDF9A1B"/>
    <w:rsid w:val="DEF9593C"/>
    <w:rsid w:val="DF9A4FCF"/>
    <w:rsid w:val="DFCF30C7"/>
    <w:rsid w:val="DFFB23BB"/>
    <w:rsid w:val="DFFDA107"/>
    <w:rsid w:val="E3BEF4EC"/>
    <w:rsid w:val="E47701F6"/>
    <w:rsid w:val="E4BEF0D7"/>
    <w:rsid w:val="E4FB2E07"/>
    <w:rsid w:val="E73F5C49"/>
    <w:rsid w:val="E7BF88A7"/>
    <w:rsid w:val="E7F3F2F5"/>
    <w:rsid w:val="E9FF1E9C"/>
    <w:rsid w:val="EAB9D313"/>
    <w:rsid w:val="EBEB56C0"/>
    <w:rsid w:val="EBFEE784"/>
    <w:rsid w:val="ECD4F861"/>
    <w:rsid w:val="ECFD2E1A"/>
    <w:rsid w:val="ED9B897A"/>
    <w:rsid w:val="EDDF9EC4"/>
    <w:rsid w:val="EF3C31EC"/>
    <w:rsid w:val="EFDE0DBB"/>
    <w:rsid w:val="EFE958EA"/>
    <w:rsid w:val="EFF70184"/>
    <w:rsid w:val="EFFE36F0"/>
    <w:rsid w:val="F2BF9E13"/>
    <w:rsid w:val="F2F78735"/>
    <w:rsid w:val="F3971ED4"/>
    <w:rsid w:val="F4766861"/>
    <w:rsid w:val="F5FFA67F"/>
    <w:rsid w:val="F69F24E7"/>
    <w:rsid w:val="F6FBCA0B"/>
    <w:rsid w:val="F6FD29B3"/>
    <w:rsid w:val="F7774DB4"/>
    <w:rsid w:val="F79E9EE4"/>
    <w:rsid w:val="F7A9E8C5"/>
    <w:rsid w:val="F7BB665F"/>
    <w:rsid w:val="F7BFBF90"/>
    <w:rsid w:val="F7BFD4FB"/>
    <w:rsid w:val="F7C46351"/>
    <w:rsid w:val="F9C7F587"/>
    <w:rsid w:val="F9E2E194"/>
    <w:rsid w:val="FA4FDAC9"/>
    <w:rsid w:val="FB7ECC44"/>
    <w:rsid w:val="FBBF580D"/>
    <w:rsid w:val="FBF5FEB6"/>
    <w:rsid w:val="FBFB7DB8"/>
    <w:rsid w:val="FC3E24B4"/>
    <w:rsid w:val="FCFF6CF7"/>
    <w:rsid w:val="FD7F5732"/>
    <w:rsid w:val="FDDD7B60"/>
    <w:rsid w:val="FE4F61AA"/>
    <w:rsid w:val="FED27EEC"/>
    <w:rsid w:val="FF3FB83C"/>
    <w:rsid w:val="FF5264B0"/>
    <w:rsid w:val="FF632A00"/>
    <w:rsid w:val="FF771532"/>
    <w:rsid w:val="FF97D6E2"/>
    <w:rsid w:val="FF9E3629"/>
    <w:rsid w:val="FFAFA252"/>
    <w:rsid w:val="FFBAE62A"/>
    <w:rsid w:val="FFBB4878"/>
    <w:rsid w:val="FFD99A00"/>
    <w:rsid w:val="FFDD094E"/>
    <w:rsid w:val="FFEF02C0"/>
    <w:rsid w:val="FFF9BD19"/>
    <w:rsid w:val="FFFD8F7B"/>
    <w:rsid w:val="FFFFB4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napToGrid w:val="0"/>
      <w:spacing w:beforeLines="100" w:afterLines="100"/>
      <w:jc w:val="center"/>
      <w:outlineLvl w:val="0"/>
    </w:pPr>
    <w:rPr>
      <w:rFonts w:eastAsia="黑体-简"/>
      <w:b/>
      <w:kern w:val="44"/>
      <w:sz w:val="48"/>
    </w:rPr>
  </w:style>
  <w:style w:type="paragraph" w:styleId="4">
    <w:name w:val="heading 2"/>
    <w:basedOn w:val="1"/>
    <w:next w:val="1"/>
    <w:unhideWhenUsed/>
    <w:qFormat/>
    <w:uiPriority w:val="0"/>
    <w:pPr>
      <w:keepNext/>
      <w:keepLines/>
      <w:spacing w:beforeLines="50" w:afterLines="50"/>
      <w:jc w:val="left"/>
      <w:outlineLvl w:val="1"/>
    </w:pPr>
    <w:rPr>
      <w:rFonts w:ascii="Times New Roman" w:hAnsi="Times New Roman" w:eastAsia="黑体-简"/>
      <w:b/>
      <w:sz w:val="32"/>
    </w:rPr>
  </w:style>
  <w:style w:type="paragraph" w:styleId="5">
    <w:name w:val="heading 3"/>
    <w:basedOn w:val="1"/>
    <w:next w:val="1"/>
    <w:unhideWhenUsed/>
    <w:qFormat/>
    <w:uiPriority w:val="0"/>
    <w:pPr>
      <w:keepNext/>
      <w:keepLines/>
      <w:outlineLvl w:val="2"/>
    </w:pPr>
    <w:rPr>
      <w:rFonts w:ascii="Arial" w:hAnsi="Arial" w:cs="Cambria"/>
      <w:b/>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文星仿宋"/>
      <w:sz w:val="32"/>
      <w:szCs w:val="32"/>
    </w:rPr>
  </w:style>
  <w:style w:type="paragraph" w:styleId="6">
    <w:name w:val="annotation text"/>
    <w:basedOn w:val="1"/>
    <w:qFormat/>
    <w:uiPriority w:val="0"/>
    <w:pPr>
      <w:jc w:val="left"/>
    </w:pPr>
  </w:style>
  <w:style w:type="paragraph" w:styleId="7">
    <w:name w:val="Body Text Indent"/>
    <w:basedOn w:val="1"/>
    <w:qFormat/>
    <w:uiPriority w:val="0"/>
    <w:pPr>
      <w:ind w:firstLine="600"/>
    </w:pPr>
    <w:rPr>
      <w:sz w:val="3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0">
    <w:name w:val="toc 1"/>
    <w:basedOn w:val="1"/>
    <w:next w:val="1"/>
    <w:qFormat/>
    <w:uiPriority w:val="39"/>
  </w:style>
  <w:style w:type="paragraph" w:styleId="11">
    <w:name w:val="footnote text"/>
    <w:basedOn w:val="1"/>
    <w:qFormat/>
    <w:uiPriority w:val="0"/>
    <w:pPr>
      <w:snapToGrid w:val="0"/>
      <w:jc w:val="left"/>
    </w:pPr>
    <w:rPr>
      <w:sz w:val="18"/>
    </w:rPr>
  </w:style>
  <w:style w:type="paragraph" w:styleId="12">
    <w:name w:val="toc 2"/>
    <w:basedOn w:val="1"/>
    <w:next w:val="1"/>
    <w:qFormat/>
    <w:uiPriority w:val="39"/>
    <w:pPr>
      <w:ind w:left="420" w:leftChars="200"/>
    </w:pPr>
  </w:style>
  <w:style w:type="paragraph" w:styleId="13">
    <w:name w:val="Body Text First Indent 2"/>
    <w:basedOn w:val="7"/>
    <w:qFormat/>
    <w:uiPriority w:val="0"/>
    <w:pPr>
      <w:ind w:firstLine="420" w:firstLineChars="2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Emphasis"/>
    <w:basedOn w:val="16"/>
    <w:qFormat/>
    <w:uiPriority w:val="0"/>
    <w:rPr>
      <w:i/>
    </w:rPr>
  </w:style>
  <w:style w:type="character" w:styleId="18">
    <w:name w:val="Hyperlink"/>
    <w:basedOn w:val="16"/>
    <w:unhideWhenUsed/>
    <w:qFormat/>
    <w:uiPriority w:val="99"/>
    <w:rPr>
      <w:color w:val="0563C1" w:themeColor="hyperlink"/>
      <w:u w:val="single"/>
    </w:rPr>
  </w:style>
  <w:style w:type="character" w:styleId="19">
    <w:name w:val="footnote reference"/>
    <w:basedOn w:val="16"/>
    <w:qFormat/>
    <w:uiPriority w:val="0"/>
    <w:rPr>
      <w:vertAlign w:val="superscript"/>
    </w:rPr>
  </w:style>
  <w:style w:type="paragraph" w:customStyle="1" w:styleId="20">
    <w:name w:val="p1"/>
    <w:basedOn w:val="1"/>
    <w:qFormat/>
    <w:uiPriority w:val="0"/>
    <w:pPr>
      <w:spacing w:line="380" w:lineRule="atLeast"/>
      <w:jc w:val="left"/>
    </w:pPr>
    <w:rPr>
      <w:rFonts w:ascii="Helvetica Neue" w:hAnsi="Helvetica Neue" w:eastAsia="Helvetica Neue" w:cs="Times New Roman"/>
      <w:color w:val="000000"/>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ED8A47-2EF3-4160-B56A-CCF81110B906}">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3810</Words>
  <Characters>3893</Characters>
  <Lines>182</Lines>
  <Paragraphs>51</Paragraphs>
  <TotalTime>0</TotalTime>
  <ScaleCrop>false</ScaleCrop>
  <LinksUpToDate>false</LinksUpToDate>
  <CharactersWithSpaces>4041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2021-01-09T14:10:00Z</dcterms:created>
  <dc:creator>hemu</dc:creator>
  <cp:lastModifiedBy>Administrator</cp:lastModifiedBy>
  <dcterms:modified xsi:type="dcterms:W3CDTF">2025-11-11T02:13:58Z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1873E9DED3124A7BBF16CCDF0A04A70B</vt:lpwstr>
  </property>
  <property fmtid="{D5CDD505-2E9C-101B-9397-08002B2CF9AE}" pid="4" name="KSOTemplateDocerSaveRecord">
    <vt:lpwstr>eyJoZGlkIjoiM2ZkMDhiODQyMzU5NTU0ZTRkOGVjNzk5MmEzMTJiNGIifQ==</vt:lpwstr>
  </property>
</Properties>
</file>